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r w:rsidRPr="00533336">
        <w:rPr>
          <w:noProof/>
        </w:rPr>
        <w:drawing>
          <wp:anchor distT="0" distB="0" distL="114300" distR="114300" simplePos="0" relativeHeight="251659264" behindDoc="0" locked="0" layoutInCell="1" allowOverlap="1" wp14:anchorId="0A40248B" wp14:editId="5B8FC91C">
            <wp:simplePos x="0" y="0"/>
            <wp:positionH relativeFrom="margin">
              <wp:posOffset>1280160</wp:posOffset>
            </wp:positionH>
            <wp:positionV relativeFrom="paragraph">
              <wp:posOffset>160020</wp:posOffset>
            </wp:positionV>
            <wp:extent cx="2867025" cy="1714500"/>
            <wp:effectExtent l="0" t="0" r="0" b="0"/>
            <wp:wrapThrough wrapText="bothSides">
              <wp:wrapPolygon edited="0">
                <wp:start x="13348" y="0"/>
                <wp:lineTo x="10047" y="3600"/>
                <wp:lineTo x="9903" y="4560"/>
                <wp:lineTo x="9903" y="7440"/>
                <wp:lineTo x="861" y="11040"/>
                <wp:lineTo x="718" y="14640"/>
                <wp:lineTo x="144" y="17040"/>
                <wp:lineTo x="144" y="19680"/>
                <wp:lineTo x="20811" y="19680"/>
                <wp:lineTo x="21098" y="17520"/>
                <wp:lineTo x="19950" y="15360"/>
                <wp:lineTo x="20954" y="14160"/>
                <wp:lineTo x="21098" y="11520"/>
                <wp:lineTo x="19088" y="10800"/>
                <wp:lineTo x="14065" y="4320"/>
                <wp:lineTo x="14209" y="720"/>
                <wp:lineTo x="14065" y="0"/>
                <wp:lineTo x="13348" y="0"/>
              </wp:wrapPolygon>
            </wp:wrapThrough>
            <wp:docPr id="1" name="Picture 1" descr="C:\Users\ABDULLAH K\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LAH K\Document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28"/>
          <w:szCs w:val="28"/>
        </w:rPr>
      </w:pPr>
    </w:p>
    <w:p w:rsidR="001960EB" w:rsidRDefault="001960EB" w:rsidP="001960EB">
      <w:pPr>
        <w:pStyle w:val="Heading2"/>
        <w:tabs>
          <w:tab w:val="left" w:pos="0"/>
          <w:tab w:val="left" w:pos="540"/>
        </w:tabs>
        <w:ind w:left="-180"/>
        <w:rPr>
          <w:rStyle w:val="Emphasis"/>
          <w:rFonts w:ascii="Calibri" w:hAnsi="Calibri"/>
          <w:color w:val="2E74B5" w:themeColor="accent5" w:themeShade="BF"/>
          <w:sz w:val="40"/>
          <w:szCs w:val="40"/>
        </w:rPr>
      </w:pPr>
    </w:p>
    <w:p w:rsidR="001960EB" w:rsidRPr="001960EB" w:rsidRDefault="001960EB" w:rsidP="001960EB">
      <w:pPr>
        <w:pStyle w:val="Heading2"/>
        <w:tabs>
          <w:tab w:val="left" w:pos="0"/>
          <w:tab w:val="left" w:pos="540"/>
        </w:tabs>
        <w:ind w:left="-180"/>
        <w:rPr>
          <w:rStyle w:val="Emphasis"/>
          <w:rFonts w:ascii="Calibri" w:hAnsi="Calibri"/>
          <w:sz w:val="40"/>
          <w:szCs w:val="40"/>
        </w:rPr>
      </w:pPr>
    </w:p>
    <w:p w:rsidR="001960EB" w:rsidRDefault="001960EB" w:rsidP="001960EB">
      <w:pPr>
        <w:ind w:left="0" w:firstLine="0"/>
        <w:rPr>
          <w:rFonts w:ascii="Calibri" w:hAnsi="Calibri"/>
          <w:sz w:val="22"/>
          <w:szCs w:val="22"/>
        </w:rPr>
      </w:pPr>
    </w:p>
    <w:p w:rsidR="001960EB" w:rsidRDefault="001960EB" w:rsidP="001960EB">
      <w:pPr>
        <w:pStyle w:val="Heading2"/>
        <w:tabs>
          <w:tab w:val="left" w:pos="0"/>
          <w:tab w:val="left" w:pos="540"/>
        </w:tabs>
        <w:ind w:left="-180"/>
      </w:pPr>
      <w:r w:rsidRPr="001960EB">
        <w:rPr>
          <w:rStyle w:val="Emphasis"/>
          <w:rFonts w:ascii="Calibri" w:hAnsi="Calibri"/>
          <w:color w:val="2E74B5" w:themeColor="accent5" w:themeShade="BF"/>
          <w:sz w:val="40"/>
          <w:szCs w:val="40"/>
        </w:rPr>
        <w:t>COMMUNICATON</w:t>
      </w:r>
      <w:r>
        <w:rPr>
          <w:rStyle w:val="Emphasis"/>
          <w:rFonts w:ascii="Calibri" w:hAnsi="Calibri"/>
          <w:color w:val="2E74B5" w:themeColor="accent5" w:themeShade="BF"/>
          <w:sz w:val="40"/>
          <w:szCs w:val="40"/>
        </w:rPr>
        <w:t xml:space="preserve"> POLICY</w:t>
      </w:r>
      <w:r w:rsidRPr="001960EB">
        <w:rPr>
          <w:rStyle w:val="Emphasis"/>
          <w:rFonts w:ascii="Calibri" w:hAnsi="Calibri"/>
          <w:color w:val="2E74B5" w:themeColor="accent5" w:themeShade="BF"/>
          <w:sz w:val="40"/>
          <w:szCs w:val="40"/>
        </w:rPr>
        <w:t xml:space="preserve"> AND INVES</w:t>
      </w:r>
      <w:r>
        <w:rPr>
          <w:rStyle w:val="Emphasis"/>
          <w:rFonts w:ascii="Calibri" w:hAnsi="Calibri"/>
          <w:color w:val="2E74B5" w:themeColor="accent5" w:themeShade="BF"/>
          <w:sz w:val="40"/>
          <w:szCs w:val="40"/>
        </w:rPr>
        <w:t>T</w:t>
      </w:r>
      <w:r w:rsidRPr="001960EB">
        <w:rPr>
          <w:rStyle w:val="Emphasis"/>
          <w:rFonts w:ascii="Calibri" w:hAnsi="Calibri"/>
          <w:color w:val="2E74B5" w:themeColor="accent5" w:themeShade="BF"/>
          <w:sz w:val="40"/>
          <w:szCs w:val="40"/>
        </w:rPr>
        <w:t>ORS / SHAFEHOLDERS RELATIONS</w:t>
      </w:r>
      <w:r>
        <w:br w:type="page"/>
      </w:r>
    </w:p>
    <w:tbl>
      <w:tblPr>
        <w:tblW w:w="8910" w:type="dxa"/>
        <w:tblBorders>
          <w:top w:val="single" w:sz="12" w:space="0" w:color="000000"/>
          <w:bottom w:val="single" w:sz="12" w:space="0" w:color="000000"/>
        </w:tblBorders>
        <w:tblLayout w:type="fixed"/>
        <w:tblLook w:val="0000" w:firstRow="0" w:lastRow="0" w:firstColumn="0" w:lastColumn="0" w:noHBand="0" w:noVBand="0"/>
      </w:tblPr>
      <w:tblGrid>
        <w:gridCol w:w="2970"/>
        <w:gridCol w:w="2774"/>
        <w:gridCol w:w="3166"/>
      </w:tblGrid>
      <w:tr w:rsidR="00B40591" w:rsidRPr="00561EA8" w:rsidTr="00806CD6">
        <w:trPr>
          <w:trHeight w:val="613"/>
        </w:trPr>
        <w:tc>
          <w:tcPr>
            <w:tcW w:w="2970" w:type="dxa"/>
            <w:shd w:val="clear" w:color="auto" w:fill="auto"/>
          </w:tcPr>
          <w:p w:rsidR="00B40591" w:rsidRPr="000E1708" w:rsidRDefault="00B40591" w:rsidP="00806CD6">
            <w:pPr>
              <w:ind w:left="0" w:firstLine="0"/>
              <w:jc w:val="left"/>
              <w:rPr>
                <w:rFonts w:ascii="Calibri" w:hAnsi="Calibri"/>
                <w:b/>
                <w:sz w:val="22"/>
                <w:szCs w:val="22"/>
              </w:rPr>
            </w:pPr>
            <w:r w:rsidRPr="000E1708">
              <w:rPr>
                <w:rFonts w:ascii="Calibri" w:hAnsi="Calibri"/>
                <w:b/>
                <w:sz w:val="22"/>
                <w:szCs w:val="22"/>
              </w:rPr>
              <w:t>Document No.:</w:t>
            </w:r>
          </w:p>
          <w:p w:rsidR="00B40591" w:rsidRPr="00561EA8" w:rsidRDefault="000E1708" w:rsidP="00806CD6">
            <w:pPr>
              <w:ind w:left="0" w:firstLine="0"/>
              <w:jc w:val="left"/>
              <w:rPr>
                <w:rFonts w:ascii="Calibri" w:hAnsi="Calibri"/>
                <w:sz w:val="22"/>
                <w:szCs w:val="22"/>
              </w:rPr>
            </w:pPr>
            <w:r>
              <w:rPr>
                <w:rFonts w:ascii="Calibri" w:hAnsi="Calibri"/>
                <w:sz w:val="22"/>
                <w:szCs w:val="22"/>
              </w:rPr>
              <w:t>COMMUNICATION &amp; INVESTORS RELATION</w:t>
            </w:r>
            <w:r w:rsidR="00690911">
              <w:rPr>
                <w:rFonts w:ascii="Calibri" w:hAnsi="Calibri"/>
                <w:sz w:val="22"/>
                <w:szCs w:val="22"/>
              </w:rPr>
              <w:t xml:space="preserve"> </w:t>
            </w:r>
            <w:r w:rsidR="009A33AF">
              <w:rPr>
                <w:rFonts w:ascii="Calibri" w:hAnsi="Calibri"/>
                <w:sz w:val="22"/>
                <w:szCs w:val="22"/>
              </w:rPr>
              <w:t>/Policy/</w:t>
            </w:r>
          </w:p>
        </w:tc>
        <w:tc>
          <w:tcPr>
            <w:tcW w:w="2774" w:type="dxa"/>
            <w:shd w:val="clear" w:color="auto" w:fill="auto"/>
          </w:tcPr>
          <w:p w:rsidR="00B40591" w:rsidRPr="00561EA8" w:rsidRDefault="00B40591" w:rsidP="00806CD6">
            <w:pPr>
              <w:ind w:left="0" w:firstLine="0"/>
              <w:jc w:val="left"/>
              <w:rPr>
                <w:rFonts w:ascii="Calibri" w:hAnsi="Calibri"/>
                <w:sz w:val="22"/>
                <w:szCs w:val="22"/>
              </w:rPr>
            </w:pPr>
            <w:r w:rsidRPr="000E1708">
              <w:rPr>
                <w:rFonts w:ascii="Calibri" w:hAnsi="Calibri"/>
                <w:b/>
                <w:sz w:val="22"/>
                <w:szCs w:val="22"/>
              </w:rPr>
              <w:t>Revision</w:t>
            </w:r>
            <w:r w:rsidRPr="00561EA8">
              <w:rPr>
                <w:rFonts w:ascii="Calibri" w:hAnsi="Calibri"/>
                <w:sz w:val="22"/>
                <w:szCs w:val="22"/>
              </w:rPr>
              <w:t>:</w:t>
            </w:r>
          </w:p>
          <w:p w:rsidR="00B40591" w:rsidRPr="00561EA8" w:rsidRDefault="00B40591" w:rsidP="00806CD6">
            <w:pPr>
              <w:ind w:left="0" w:firstLine="0"/>
              <w:jc w:val="left"/>
              <w:rPr>
                <w:rFonts w:ascii="Calibri" w:hAnsi="Calibri"/>
                <w:sz w:val="22"/>
                <w:szCs w:val="22"/>
              </w:rPr>
            </w:pPr>
            <w:r w:rsidRPr="00561EA8">
              <w:rPr>
                <w:rFonts w:ascii="Calibri" w:hAnsi="Calibri"/>
                <w:sz w:val="22"/>
                <w:szCs w:val="22"/>
              </w:rPr>
              <w:t>00</w:t>
            </w:r>
          </w:p>
        </w:tc>
        <w:tc>
          <w:tcPr>
            <w:tcW w:w="3166" w:type="dxa"/>
            <w:shd w:val="clear" w:color="auto" w:fill="auto"/>
          </w:tcPr>
          <w:p w:rsidR="00B40591" w:rsidRPr="00561EA8" w:rsidRDefault="00B40591" w:rsidP="00806CD6">
            <w:pPr>
              <w:ind w:left="0" w:firstLine="0"/>
              <w:jc w:val="left"/>
              <w:rPr>
                <w:rFonts w:ascii="Calibri" w:hAnsi="Calibri"/>
                <w:sz w:val="22"/>
                <w:szCs w:val="22"/>
              </w:rPr>
            </w:pPr>
            <w:r w:rsidRPr="000E1708">
              <w:rPr>
                <w:rFonts w:ascii="Calibri" w:hAnsi="Calibri"/>
                <w:b/>
                <w:sz w:val="22"/>
                <w:szCs w:val="22"/>
              </w:rPr>
              <w:t>Effective Date</w:t>
            </w:r>
            <w:r w:rsidRPr="00561EA8">
              <w:rPr>
                <w:rFonts w:ascii="Calibri" w:hAnsi="Calibri"/>
                <w:sz w:val="22"/>
                <w:szCs w:val="22"/>
              </w:rPr>
              <w:t>:</w:t>
            </w:r>
            <w:r w:rsidR="005758BE">
              <w:rPr>
                <w:rFonts w:ascii="Calibri" w:hAnsi="Calibri"/>
                <w:sz w:val="22"/>
                <w:szCs w:val="22"/>
              </w:rPr>
              <w:t xml:space="preserve"> June 26, 2023</w:t>
            </w:r>
          </w:p>
          <w:p w:rsidR="00B40591" w:rsidRPr="00561EA8" w:rsidRDefault="00B40591" w:rsidP="00806CD6">
            <w:pPr>
              <w:ind w:left="0" w:firstLine="0"/>
              <w:jc w:val="left"/>
              <w:rPr>
                <w:rFonts w:ascii="Calibri" w:hAnsi="Calibri"/>
                <w:sz w:val="22"/>
                <w:szCs w:val="22"/>
              </w:rPr>
            </w:pPr>
          </w:p>
        </w:tc>
      </w:tr>
    </w:tbl>
    <w:p w:rsidR="00B40591" w:rsidRPr="00561EA8" w:rsidRDefault="00B40591" w:rsidP="00B40591">
      <w:pPr>
        <w:pStyle w:val="Heading2"/>
        <w:jc w:val="both"/>
        <w:rPr>
          <w:rFonts w:ascii="Calibri" w:hAnsi="Calibri"/>
          <w:sz w:val="22"/>
          <w:szCs w:val="22"/>
        </w:rPr>
      </w:pPr>
      <w:bookmarkStart w:id="0" w:name="_Toc11734438"/>
      <w:bookmarkStart w:id="1" w:name="_Toc11735030"/>
      <w:bookmarkStart w:id="2" w:name="_Toc16070257"/>
      <w:bookmarkStart w:id="3" w:name="_Toc11735031"/>
      <w:bookmarkStart w:id="4" w:name="_Toc16070258"/>
      <w:bookmarkEnd w:id="0"/>
      <w:bookmarkEnd w:id="1"/>
      <w:bookmarkEnd w:id="2"/>
    </w:p>
    <w:bookmarkEnd w:id="3"/>
    <w:bookmarkEnd w:id="4"/>
    <w:p w:rsidR="00B40591" w:rsidRPr="00561EA8" w:rsidRDefault="000E1708" w:rsidP="009A33AF">
      <w:pPr>
        <w:pStyle w:val="Heading2"/>
        <w:tabs>
          <w:tab w:val="left" w:pos="0"/>
          <w:tab w:val="left" w:pos="540"/>
        </w:tabs>
        <w:ind w:left="-180"/>
        <w:rPr>
          <w:rStyle w:val="Emphasis"/>
          <w:rFonts w:ascii="Calibri" w:hAnsi="Calibri"/>
          <w:sz w:val="22"/>
          <w:szCs w:val="22"/>
        </w:rPr>
      </w:pPr>
      <w:r>
        <w:rPr>
          <w:rStyle w:val="Emphasis"/>
          <w:rFonts w:ascii="Calibri" w:hAnsi="Calibri"/>
          <w:sz w:val="22"/>
          <w:szCs w:val="22"/>
        </w:rPr>
        <w:t>COMMUNICATION POLICY AND INVESTORS’/SHAREHOLDERS’ RELATIONS</w:t>
      </w:r>
    </w:p>
    <w:p w:rsidR="0068540B" w:rsidRDefault="0068540B" w:rsidP="00B40591">
      <w:pPr>
        <w:ind w:left="0" w:firstLine="0"/>
        <w:rPr>
          <w:rFonts w:ascii="Calibri" w:hAnsi="Calibri"/>
          <w:sz w:val="22"/>
          <w:szCs w:val="22"/>
        </w:rPr>
      </w:pPr>
    </w:p>
    <w:p w:rsidR="00B40591" w:rsidRPr="00561EA8" w:rsidRDefault="00B40591" w:rsidP="009B1FDA">
      <w:pPr>
        <w:pStyle w:val="Heading3"/>
        <w:numPr>
          <w:ilvl w:val="0"/>
          <w:numId w:val="11"/>
        </w:numPr>
        <w:rPr>
          <w:rStyle w:val="SubtleEmphasis"/>
          <w:rFonts w:ascii="Calibri" w:hAnsi="Calibri"/>
          <w:sz w:val="22"/>
          <w:szCs w:val="22"/>
        </w:rPr>
      </w:pPr>
      <w:bookmarkStart w:id="5" w:name="_Toc381960961"/>
      <w:r w:rsidRPr="00561EA8">
        <w:rPr>
          <w:rStyle w:val="SubtleEmphasis"/>
          <w:rFonts w:ascii="Calibri" w:hAnsi="Calibri"/>
          <w:sz w:val="22"/>
          <w:szCs w:val="22"/>
        </w:rPr>
        <w:t>INTRODUCTION</w:t>
      </w:r>
      <w:bookmarkEnd w:id="5"/>
      <w:r w:rsidR="00424FF6">
        <w:rPr>
          <w:rStyle w:val="SubtleEmphasis"/>
          <w:rFonts w:ascii="Calibri" w:hAnsi="Calibri"/>
          <w:sz w:val="22"/>
          <w:szCs w:val="22"/>
        </w:rPr>
        <w:t xml:space="preserve"> / POLICY STATEMENT</w:t>
      </w:r>
    </w:p>
    <w:p w:rsidR="000E1708" w:rsidRDefault="000E1708" w:rsidP="000E1708">
      <w:pPr>
        <w:pStyle w:val="Pa3"/>
        <w:jc w:val="both"/>
        <w:rPr>
          <w:rFonts w:asciiTheme="minorHAnsi" w:hAnsiTheme="minorHAnsi" w:cstheme="minorHAnsi"/>
          <w:color w:val="000000"/>
          <w:sz w:val="22"/>
          <w:szCs w:val="22"/>
        </w:rPr>
      </w:pPr>
      <w:bookmarkStart w:id="6" w:name="_Toc381960962"/>
    </w:p>
    <w:p w:rsidR="000E1708" w:rsidRPr="000E1708" w:rsidRDefault="000E1708" w:rsidP="000E1708">
      <w:pPr>
        <w:pStyle w:val="Pa3"/>
        <w:jc w:val="both"/>
        <w:rPr>
          <w:rFonts w:asciiTheme="minorHAnsi" w:hAnsiTheme="minorHAnsi" w:cstheme="minorHAnsi"/>
          <w:color w:val="000000"/>
          <w:sz w:val="22"/>
          <w:szCs w:val="22"/>
        </w:rPr>
      </w:pPr>
      <w:r w:rsidRPr="000E1708">
        <w:rPr>
          <w:rFonts w:asciiTheme="minorHAnsi" w:hAnsiTheme="minorHAnsi" w:cstheme="minorHAnsi"/>
          <w:color w:val="000000"/>
          <w:sz w:val="22"/>
          <w:szCs w:val="22"/>
        </w:rPr>
        <w:t xml:space="preserve">This </w:t>
      </w:r>
      <w:r>
        <w:rPr>
          <w:rFonts w:asciiTheme="minorHAnsi" w:hAnsiTheme="minorHAnsi" w:cstheme="minorHAnsi"/>
          <w:color w:val="000000"/>
          <w:sz w:val="22"/>
          <w:szCs w:val="22"/>
        </w:rPr>
        <w:t xml:space="preserve">Communication and </w:t>
      </w:r>
      <w:r w:rsidRPr="000E1708">
        <w:rPr>
          <w:rFonts w:asciiTheme="minorHAnsi" w:hAnsiTheme="minorHAnsi" w:cstheme="minorHAnsi"/>
          <w:color w:val="000000"/>
          <w:sz w:val="22"/>
          <w:szCs w:val="22"/>
        </w:rPr>
        <w:t>Investor’s Relation (“</w:t>
      </w:r>
      <w:r>
        <w:rPr>
          <w:rFonts w:asciiTheme="minorHAnsi" w:hAnsiTheme="minorHAnsi" w:cstheme="minorHAnsi"/>
          <w:color w:val="000000"/>
          <w:sz w:val="22"/>
          <w:szCs w:val="22"/>
        </w:rPr>
        <w:t>C</w:t>
      </w:r>
      <w:r w:rsidRPr="000E1708">
        <w:rPr>
          <w:rFonts w:asciiTheme="minorHAnsi" w:hAnsiTheme="minorHAnsi" w:cstheme="minorHAnsi"/>
          <w:color w:val="000000"/>
          <w:sz w:val="22"/>
          <w:szCs w:val="22"/>
        </w:rPr>
        <w:t>IR”) Policy shall help Agritech Limited (“AGL”) to build trust and awareness in the investor</w:t>
      </w:r>
      <w:r>
        <w:rPr>
          <w:rFonts w:asciiTheme="minorHAnsi" w:hAnsiTheme="minorHAnsi" w:cstheme="minorHAnsi"/>
          <w:color w:val="000000"/>
          <w:sz w:val="22"/>
          <w:szCs w:val="22"/>
        </w:rPr>
        <w:t>s and shareholders</w:t>
      </w:r>
      <w:r w:rsidRPr="000E1708">
        <w:rPr>
          <w:rFonts w:asciiTheme="minorHAnsi" w:hAnsiTheme="minorHAnsi" w:cstheme="minorHAnsi"/>
          <w:color w:val="000000"/>
          <w:sz w:val="22"/>
          <w:szCs w:val="22"/>
        </w:rPr>
        <w:t xml:space="preserve"> community by ensuring that investor</w:t>
      </w:r>
      <w:r>
        <w:rPr>
          <w:rFonts w:asciiTheme="minorHAnsi" w:hAnsiTheme="minorHAnsi" w:cstheme="minorHAnsi"/>
          <w:color w:val="000000"/>
          <w:sz w:val="22"/>
          <w:szCs w:val="22"/>
        </w:rPr>
        <w:t>s/shareholders</w:t>
      </w:r>
      <w:r w:rsidRPr="000E1708">
        <w:rPr>
          <w:rFonts w:asciiTheme="minorHAnsi" w:hAnsiTheme="minorHAnsi" w:cstheme="minorHAnsi"/>
          <w:color w:val="000000"/>
          <w:sz w:val="22"/>
          <w:szCs w:val="22"/>
        </w:rPr>
        <w:t xml:space="preserve"> relation activities are conducted in compliance with relevant rules, regulations and recommended practices. </w:t>
      </w:r>
    </w:p>
    <w:p w:rsidR="000E1708" w:rsidRPr="000E1708" w:rsidRDefault="000E1708" w:rsidP="000E1708">
      <w:pPr>
        <w:pStyle w:val="Pa5"/>
        <w:spacing w:before="100"/>
        <w:jc w:val="both"/>
        <w:rPr>
          <w:rFonts w:asciiTheme="minorHAnsi" w:hAnsiTheme="minorHAnsi" w:cstheme="minorHAnsi"/>
          <w:color w:val="000000"/>
          <w:sz w:val="22"/>
          <w:szCs w:val="22"/>
        </w:rPr>
      </w:pPr>
      <w:r w:rsidRPr="000E1708">
        <w:rPr>
          <w:rFonts w:asciiTheme="minorHAnsi" w:hAnsiTheme="minorHAnsi" w:cstheme="minorHAnsi"/>
          <w:color w:val="000000"/>
          <w:sz w:val="22"/>
          <w:szCs w:val="22"/>
        </w:rPr>
        <w:t>Good relations and an open, active dialogue with sharehold</w:t>
      </w:r>
      <w:r w:rsidRPr="000E1708">
        <w:rPr>
          <w:rFonts w:asciiTheme="minorHAnsi" w:hAnsiTheme="minorHAnsi" w:cstheme="minorHAnsi"/>
          <w:color w:val="000000"/>
          <w:sz w:val="22"/>
          <w:szCs w:val="22"/>
        </w:rPr>
        <w:softHyphen/>
        <w:t xml:space="preserve">ers, potential investors, analysts and other participants in the capital markets shall build trust and contribute to reduced costs of capital for AGL. </w:t>
      </w:r>
    </w:p>
    <w:p w:rsidR="000E1708" w:rsidRPr="000E1708" w:rsidRDefault="000E1708" w:rsidP="000E1708">
      <w:pPr>
        <w:pStyle w:val="Pa5"/>
        <w:spacing w:before="100"/>
        <w:jc w:val="both"/>
        <w:rPr>
          <w:rFonts w:asciiTheme="minorHAnsi" w:hAnsiTheme="minorHAnsi" w:cstheme="minorHAnsi"/>
          <w:color w:val="000000"/>
          <w:sz w:val="22"/>
          <w:szCs w:val="22"/>
        </w:rPr>
      </w:pPr>
      <w:r w:rsidRPr="000E1708">
        <w:rPr>
          <w:rFonts w:asciiTheme="minorHAnsi" w:hAnsiTheme="minorHAnsi" w:cstheme="minorHAnsi"/>
          <w:color w:val="000000"/>
          <w:sz w:val="22"/>
          <w:szCs w:val="22"/>
        </w:rPr>
        <w:t xml:space="preserve">This policy shall also contribute to the management and the board of directors of AGL obtaining information about the market’s views and opinion on AGL. </w:t>
      </w:r>
    </w:p>
    <w:p w:rsidR="0068540B" w:rsidRPr="0068540B" w:rsidRDefault="0068540B" w:rsidP="0068540B"/>
    <w:p w:rsidR="00B40591" w:rsidRPr="00561EA8" w:rsidRDefault="00B40591" w:rsidP="009B1FDA">
      <w:pPr>
        <w:pStyle w:val="Heading3"/>
        <w:numPr>
          <w:ilvl w:val="0"/>
          <w:numId w:val="11"/>
        </w:numPr>
        <w:rPr>
          <w:rStyle w:val="SubtleEmphasis"/>
          <w:rFonts w:ascii="Calibri" w:hAnsi="Calibri"/>
          <w:sz w:val="22"/>
          <w:szCs w:val="22"/>
        </w:rPr>
      </w:pPr>
      <w:r w:rsidRPr="00561EA8">
        <w:rPr>
          <w:rStyle w:val="SubtleEmphasis"/>
          <w:rFonts w:ascii="Calibri" w:hAnsi="Calibri"/>
          <w:sz w:val="22"/>
          <w:szCs w:val="22"/>
        </w:rPr>
        <w:t>OBJECTIVE</w:t>
      </w:r>
      <w:bookmarkEnd w:id="6"/>
    </w:p>
    <w:p w:rsidR="000E1708" w:rsidRPr="000E1708" w:rsidRDefault="000E1708" w:rsidP="000E1708">
      <w:pPr>
        <w:pStyle w:val="Pa5"/>
        <w:spacing w:before="100"/>
        <w:jc w:val="both"/>
        <w:rPr>
          <w:rFonts w:asciiTheme="minorHAnsi" w:hAnsiTheme="minorHAnsi" w:cstheme="minorHAnsi"/>
          <w:color w:val="000000"/>
          <w:sz w:val="22"/>
          <w:szCs w:val="22"/>
        </w:rPr>
      </w:pPr>
      <w:bookmarkStart w:id="7" w:name="_Toc381960963"/>
      <w:r w:rsidRPr="000E1708">
        <w:rPr>
          <w:rFonts w:asciiTheme="minorHAnsi" w:hAnsiTheme="minorHAnsi" w:cstheme="minorHAnsi"/>
          <w:color w:val="000000"/>
          <w:sz w:val="22"/>
          <w:szCs w:val="22"/>
        </w:rPr>
        <w:t xml:space="preserve">The policy shall help ensure that shareholders, potential investors, the market in general and other stakeholders shall gain simultaneous access to accurate, clear, relevant, comprehensive and up-to-date information about Company. </w:t>
      </w:r>
    </w:p>
    <w:p w:rsidR="009B1FDA" w:rsidRDefault="009B1FDA" w:rsidP="00973B29">
      <w:pPr>
        <w:pStyle w:val="Heading3"/>
        <w:rPr>
          <w:rFonts w:ascii="Calibri" w:hAnsi="Calibri"/>
          <w:b w:val="0"/>
          <w:color w:val="000000"/>
          <w:sz w:val="22"/>
          <w:szCs w:val="22"/>
        </w:rPr>
      </w:pPr>
    </w:p>
    <w:p w:rsidR="00B40591" w:rsidRPr="0068540B" w:rsidRDefault="00B40591" w:rsidP="0068540B">
      <w:pPr>
        <w:pStyle w:val="Heading3"/>
        <w:numPr>
          <w:ilvl w:val="0"/>
          <w:numId w:val="11"/>
        </w:numPr>
        <w:rPr>
          <w:rFonts w:ascii="Calibri" w:hAnsi="Calibri"/>
          <w:i/>
          <w:iCs/>
          <w:color w:val="808080"/>
          <w:sz w:val="22"/>
          <w:szCs w:val="22"/>
        </w:rPr>
      </w:pPr>
      <w:r w:rsidRPr="00561EA8">
        <w:rPr>
          <w:rStyle w:val="SubtleEmphasis"/>
          <w:rFonts w:ascii="Calibri" w:hAnsi="Calibri"/>
          <w:sz w:val="22"/>
          <w:szCs w:val="22"/>
        </w:rPr>
        <w:t>SCOPE/APPLICABILITY</w:t>
      </w:r>
      <w:bookmarkEnd w:id="7"/>
    </w:p>
    <w:p w:rsidR="000E1708" w:rsidRDefault="000E1708" w:rsidP="000E1708">
      <w:pPr>
        <w:ind w:left="-142" w:firstLine="142"/>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Pr="000E1708">
        <w:rPr>
          <w:rFonts w:asciiTheme="minorHAnsi" w:hAnsiTheme="minorHAnsi" w:cstheme="minorHAnsi"/>
          <w:color w:val="000000"/>
          <w:sz w:val="22"/>
          <w:szCs w:val="22"/>
        </w:rPr>
        <w:t xml:space="preserve">Company’s </w:t>
      </w:r>
      <w:r>
        <w:rPr>
          <w:rFonts w:asciiTheme="minorHAnsi" w:hAnsiTheme="minorHAnsi" w:cstheme="minorHAnsi"/>
          <w:color w:val="000000"/>
          <w:sz w:val="22"/>
          <w:szCs w:val="22"/>
        </w:rPr>
        <w:t xml:space="preserve">Communication and </w:t>
      </w:r>
      <w:r w:rsidRPr="000E1708">
        <w:rPr>
          <w:rFonts w:asciiTheme="minorHAnsi" w:hAnsiTheme="minorHAnsi" w:cstheme="minorHAnsi"/>
          <w:color w:val="000000"/>
          <w:sz w:val="22"/>
          <w:szCs w:val="22"/>
        </w:rPr>
        <w:t>Investor Relations team (</w:t>
      </w:r>
      <w:r>
        <w:rPr>
          <w:rFonts w:asciiTheme="minorHAnsi" w:hAnsiTheme="minorHAnsi" w:cstheme="minorHAnsi"/>
          <w:color w:val="000000"/>
          <w:sz w:val="22"/>
          <w:szCs w:val="22"/>
        </w:rPr>
        <w:t>C</w:t>
      </w:r>
      <w:r w:rsidRPr="000E1708">
        <w:rPr>
          <w:rFonts w:asciiTheme="minorHAnsi" w:hAnsiTheme="minorHAnsi" w:cstheme="minorHAnsi"/>
          <w:color w:val="000000"/>
          <w:sz w:val="22"/>
          <w:szCs w:val="22"/>
        </w:rPr>
        <w:t xml:space="preserve">IR team) comprises the </w:t>
      </w:r>
      <w:r>
        <w:rPr>
          <w:rFonts w:asciiTheme="minorHAnsi" w:hAnsiTheme="minorHAnsi" w:cstheme="minorHAnsi"/>
          <w:color w:val="000000"/>
          <w:sz w:val="22"/>
          <w:szCs w:val="22"/>
        </w:rPr>
        <w:t>C</w:t>
      </w:r>
      <w:r w:rsidRPr="000E1708">
        <w:rPr>
          <w:rFonts w:asciiTheme="minorHAnsi" w:hAnsiTheme="minorHAnsi" w:cstheme="minorHAnsi"/>
          <w:color w:val="000000"/>
          <w:sz w:val="22"/>
          <w:szCs w:val="22"/>
        </w:rPr>
        <w:t xml:space="preserve">hief </w:t>
      </w:r>
      <w:r>
        <w:rPr>
          <w:rFonts w:asciiTheme="minorHAnsi" w:hAnsiTheme="minorHAnsi" w:cstheme="minorHAnsi"/>
          <w:color w:val="000000"/>
          <w:sz w:val="22"/>
          <w:szCs w:val="22"/>
        </w:rPr>
        <w:t>E</w:t>
      </w:r>
      <w:r w:rsidRPr="000E1708">
        <w:rPr>
          <w:rFonts w:asciiTheme="minorHAnsi" w:hAnsiTheme="minorHAnsi" w:cstheme="minorHAnsi"/>
          <w:color w:val="000000"/>
          <w:sz w:val="22"/>
          <w:szCs w:val="22"/>
        </w:rPr>
        <w:t xml:space="preserve">xecutive </w:t>
      </w:r>
      <w:r>
        <w:rPr>
          <w:rFonts w:asciiTheme="minorHAnsi" w:hAnsiTheme="minorHAnsi" w:cstheme="minorHAnsi"/>
          <w:color w:val="000000"/>
          <w:sz w:val="22"/>
          <w:szCs w:val="22"/>
        </w:rPr>
        <w:t xml:space="preserve">  </w:t>
      </w:r>
    </w:p>
    <w:p w:rsidR="000E1708" w:rsidRDefault="000E1708" w:rsidP="000E1708">
      <w:pPr>
        <w:ind w:left="-142" w:firstLine="142"/>
        <w:rPr>
          <w:rFonts w:asciiTheme="minorHAnsi" w:hAnsiTheme="minorHAnsi" w:cstheme="minorHAnsi"/>
          <w:color w:val="000000"/>
          <w:sz w:val="22"/>
          <w:szCs w:val="22"/>
        </w:rPr>
      </w:pPr>
      <w:r>
        <w:rPr>
          <w:rFonts w:asciiTheme="minorHAnsi" w:hAnsiTheme="minorHAnsi" w:cstheme="minorHAnsi"/>
          <w:color w:val="000000"/>
          <w:sz w:val="22"/>
          <w:szCs w:val="22"/>
        </w:rPr>
        <w:t>O</w:t>
      </w:r>
      <w:r w:rsidRPr="000E1708">
        <w:rPr>
          <w:rFonts w:asciiTheme="minorHAnsi" w:hAnsiTheme="minorHAnsi" w:cstheme="minorHAnsi"/>
          <w:color w:val="000000"/>
          <w:sz w:val="22"/>
          <w:szCs w:val="22"/>
        </w:rPr>
        <w:t>fficer</w:t>
      </w:r>
      <w:r>
        <w:rPr>
          <w:rFonts w:asciiTheme="minorHAnsi" w:hAnsiTheme="minorHAnsi" w:cstheme="minorHAnsi"/>
          <w:color w:val="000000"/>
          <w:sz w:val="22"/>
          <w:szCs w:val="22"/>
        </w:rPr>
        <w:t xml:space="preserve"> (CEO),</w:t>
      </w:r>
      <w:r w:rsidRPr="000E1708">
        <w:rPr>
          <w:rFonts w:asciiTheme="minorHAnsi" w:hAnsiTheme="minorHAnsi" w:cstheme="minorHAnsi"/>
          <w:color w:val="000000"/>
          <w:sz w:val="22"/>
          <w:szCs w:val="22"/>
        </w:rPr>
        <w:t xml:space="preserve"> </w:t>
      </w:r>
      <w:r>
        <w:rPr>
          <w:rFonts w:asciiTheme="minorHAnsi" w:hAnsiTheme="minorHAnsi" w:cstheme="minorHAnsi"/>
          <w:color w:val="000000"/>
          <w:sz w:val="22"/>
          <w:szCs w:val="22"/>
        </w:rPr>
        <w:t>C</w:t>
      </w:r>
      <w:r w:rsidRPr="000E1708">
        <w:rPr>
          <w:rFonts w:asciiTheme="minorHAnsi" w:hAnsiTheme="minorHAnsi" w:cstheme="minorHAnsi"/>
          <w:color w:val="000000"/>
          <w:sz w:val="22"/>
          <w:szCs w:val="22"/>
        </w:rPr>
        <w:t>hief</w:t>
      </w:r>
      <w:r>
        <w:rPr>
          <w:rFonts w:asciiTheme="minorHAnsi" w:hAnsiTheme="minorHAnsi" w:cstheme="minorHAnsi"/>
          <w:color w:val="000000"/>
          <w:sz w:val="22"/>
          <w:szCs w:val="22"/>
        </w:rPr>
        <w:t xml:space="preserve"> Financial Officer (CFO) and Company Secretary (CS).</w:t>
      </w:r>
    </w:p>
    <w:p w:rsidR="0068540B" w:rsidRDefault="0068540B" w:rsidP="00763217">
      <w:pPr>
        <w:ind w:left="-142" w:firstLine="0"/>
        <w:rPr>
          <w:rFonts w:ascii="Calibri" w:hAnsi="Calibri"/>
          <w:color w:val="000000"/>
          <w:sz w:val="22"/>
          <w:szCs w:val="22"/>
        </w:rPr>
      </w:pPr>
    </w:p>
    <w:p w:rsidR="00B40591" w:rsidRPr="00561EA8" w:rsidRDefault="00B640BC" w:rsidP="009B1FDA">
      <w:pPr>
        <w:pStyle w:val="Heading3"/>
        <w:numPr>
          <w:ilvl w:val="0"/>
          <w:numId w:val="11"/>
        </w:numPr>
        <w:rPr>
          <w:rStyle w:val="SubtleEmphasis"/>
          <w:rFonts w:ascii="Calibri" w:hAnsi="Calibri"/>
          <w:sz w:val="22"/>
          <w:szCs w:val="22"/>
        </w:rPr>
      </w:pPr>
      <w:r>
        <w:rPr>
          <w:rStyle w:val="SubtleEmphasis"/>
          <w:rFonts w:ascii="Calibri" w:hAnsi="Calibri"/>
          <w:sz w:val="22"/>
          <w:szCs w:val="22"/>
        </w:rPr>
        <w:t>POLICY STATEMENTS</w:t>
      </w:r>
    </w:p>
    <w:p w:rsidR="00B40591" w:rsidRDefault="00B40591" w:rsidP="00B40591">
      <w:pPr>
        <w:tabs>
          <w:tab w:val="left" w:pos="600"/>
        </w:tabs>
        <w:ind w:left="0" w:firstLine="0"/>
        <w:rPr>
          <w:rFonts w:ascii="Calibri" w:hAnsi="Calibri"/>
          <w:color w:val="000000"/>
          <w:sz w:val="22"/>
          <w:szCs w:val="22"/>
        </w:rPr>
      </w:pPr>
    </w:p>
    <w:p w:rsidR="009B1FDA" w:rsidRPr="00A403B7" w:rsidRDefault="000E1708" w:rsidP="001B4C44">
      <w:pPr>
        <w:ind w:left="0" w:firstLine="0"/>
        <w:rPr>
          <w:rFonts w:ascii="Calibri" w:hAnsi="Calibri"/>
          <w:color w:val="000000"/>
          <w:sz w:val="22"/>
          <w:szCs w:val="22"/>
        </w:rPr>
      </w:pPr>
      <w:r>
        <w:rPr>
          <w:rFonts w:ascii="Calibri" w:hAnsi="Calibri"/>
          <w:b/>
          <w:bCs/>
          <w:color w:val="000000"/>
          <w:sz w:val="22"/>
          <w:szCs w:val="22"/>
        </w:rPr>
        <w:t xml:space="preserve">Investors and Shareholders Contact </w:t>
      </w:r>
      <w:r w:rsidR="00C0043D">
        <w:rPr>
          <w:rFonts w:ascii="Calibri" w:hAnsi="Calibri"/>
          <w:b/>
          <w:bCs/>
          <w:color w:val="000000"/>
          <w:sz w:val="22"/>
          <w:szCs w:val="22"/>
        </w:rPr>
        <w:t>and Communication with Financial Markets</w:t>
      </w:r>
    </w:p>
    <w:p w:rsidR="000E1708" w:rsidRDefault="000E1708" w:rsidP="000E1708">
      <w:pPr>
        <w:autoSpaceDE w:val="0"/>
        <w:autoSpaceDN w:val="0"/>
        <w:adjustRightInd w:val="0"/>
        <w:spacing w:line="181" w:lineRule="atLeast"/>
        <w:ind w:left="90" w:firstLine="0"/>
        <w:rPr>
          <w:rFonts w:asciiTheme="minorHAnsi" w:hAnsiTheme="minorHAnsi" w:cstheme="minorHAnsi"/>
          <w:color w:val="000000"/>
          <w:sz w:val="22"/>
          <w:szCs w:val="22"/>
        </w:rPr>
      </w:pPr>
    </w:p>
    <w:p w:rsidR="000E1708" w:rsidRPr="000E1708" w:rsidRDefault="000E1708" w:rsidP="000E1708">
      <w:pPr>
        <w:autoSpaceDE w:val="0"/>
        <w:autoSpaceDN w:val="0"/>
        <w:adjustRightInd w:val="0"/>
        <w:spacing w:line="181" w:lineRule="atLeast"/>
        <w:ind w:left="90" w:firstLine="0"/>
        <w:rPr>
          <w:rFonts w:asciiTheme="minorHAnsi" w:hAnsiTheme="minorHAnsi" w:cstheme="minorHAnsi"/>
          <w:color w:val="000000"/>
          <w:sz w:val="22"/>
          <w:szCs w:val="22"/>
        </w:rPr>
      </w:pPr>
      <w:r w:rsidRPr="000E1708">
        <w:rPr>
          <w:rFonts w:asciiTheme="minorHAnsi" w:hAnsiTheme="minorHAnsi" w:cstheme="minorHAnsi"/>
          <w:color w:val="000000"/>
          <w:sz w:val="22"/>
          <w:szCs w:val="22"/>
        </w:rPr>
        <w:t xml:space="preserve">All communication with </w:t>
      </w:r>
      <w:r>
        <w:rPr>
          <w:rFonts w:asciiTheme="minorHAnsi" w:hAnsiTheme="minorHAnsi" w:cstheme="minorHAnsi"/>
          <w:color w:val="000000"/>
          <w:sz w:val="22"/>
          <w:szCs w:val="22"/>
        </w:rPr>
        <w:t>the investors/</w:t>
      </w:r>
      <w:r w:rsidRPr="000E1708">
        <w:rPr>
          <w:rFonts w:asciiTheme="minorHAnsi" w:hAnsiTheme="minorHAnsi" w:cstheme="minorHAnsi"/>
          <w:color w:val="000000"/>
          <w:sz w:val="22"/>
          <w:szCs w:val="22"/>
        </w:rPr>
        <w:t>shareholders shall be on an equal treatment basis</w:t>
      </w:r>
      <w:r w:rsidR="00C0043D">
        <w:rPr>
          <w:rFonts w:asciiTheme="minorHAnsi" w:hAnsiTheme="minorHAnsi" w:cstheme="minorHAnsi"/>
          <w:color w:val="000000"/>
          <w:sz w:val="22"/>
          <w:szCs w:val="22"/>
        </w:rPr>
        <w:t xml:space="preserve"> whether major investors/shareholders or minority investors/shareholders</w:t>
      </w:r>
      <w:r w:rsidRPr="000E1708">
        <w:rPr>
          <w:rFonts w:asciiTheme="minorHAnsi" w:hAnsiTheme="minorHAnsi" w:cstheme="minorHAnsi"/>
          <w:color w:val="000000"/>
          <w:sz w:val="22"/>
          <w:szCs w:val="22"/>
        </w:rPr>
        <w:t xml:space="preserve"> and in compliance with applicable laws and regulation. AGL shall continually provide its </w:t>
      </w:r>
      <w:r w:rsidR="00C0043D">
        <w:rPr>
          <w:rFonts w:asciiTheme="minorHAnsi" w:hAnsiTheme="minorHAnsi" w:cstheme="minorHAnsi"/>
          <w:color w:val="000000"/>
          <w:sz w:val="22"/>
          <w:szCs w:val="22"/>
        </w:rPr>
        <w:t>investors/share</w:t>
      </w:r>
      <w:r w:rsidR="00C0043D">
        <w:rPr>
          <w:rFonts w:asciiTheme="minorHAnsi" w:hAnsiTheme="minorHAnsi" w:cstheme="minorHAnsi"/>
          <w:color w:val="000000"/>
          <w:sz w:val="22"/>
          <w:szCs w:val="22"/>
        </w:rPr>
        <w:softHyphen/>
        <w:t>holders and relevant regulators i.e.</w:t>
      </w:r>
      <w:r w:rsidRPr="000E1708">
        <w:rPr>
          <w:rFonts w:asciiTheme="minorHAnsi" w:hAnsiTheme="minorHAnsi" w:cstheme="minorHAnsi"/>
          <w:color w:val="000000"/>
          <w:sz w:val="22"/>
          <w:szCs w:val="22"/>
        </w:rPr>
        <w:t xml:space="preserve"> Pakistan </w:t>
      </w:r>
      <w:r w:rsidR="00C0043D">
        <w:rPr>
          <w:rFonts w:asciiTheme="minorHAnsi" w:hAnsiTheme="minorHAnsi" w:cstheme="minorHAnsi"/>
          <w:color w:val="000000"/>
          <w:sz w:val="22"/>
          <w:szCs w:val="22"/>
        </w:rPr>
        <w:t>stock E</w:t>
      </w:r>
      <w:r w:rsidRPr="000E1708">
        <w:rPr>
          <w:rFonts w:asciiTheme="minorHAnsi" w:hAnsiTheme="minorHAnsi" w:cstheme="minorHAnsi"/>
          <w:color w:val="000000"/>
          <w:sz w:val="22"/>
          <w:szCs w:val="22"/>
        </w:rPr>
        <w:t>xchange</w:t>
      </w:r>
      <w:r w:rsidR="00C0043D">
        <w:rPr>
          <w:rFonts w:asciiTheme="minorHAnsi" w:hAnsiTheme="minorHAnsi" w:cstheme="minorHAnsi"/>
          <w:color w:val="000000"/>
          <w:sz w:val="22"/>
          <w:szCs w:val="22"/>
        </w:rPr>
        <w:t xml:space="preserve"> (PSX)</w:t>
      </w:r>
      <w:r w:rsidRPr="000E1708">
        <w:rPr>
          <w:rFonts w:asciiTheme="minorHAnsi" w:hAnsiTheme="minorHAnsi" w:cstheme="minorHAnsi"/>
          <w:color w:val="000000"/>
          <w:sz w:val="22"/>
          <w:szCs w:val="22"/>
        </w:rPr>
        <w:t xml:space="preserve"> and Securities &amp; Exchange Commission of Pakistan</w:t>
      </w:r>
      <w:r w:rsidR="00C0043D">
        <w:rPr>
          <w:rFonts w:asciiTheme="minorHAnsi" w:hAnsiTheme="minorHAnsi" w:cstheme="minorHAnsi"/>
          <w:color w:val="000000"/>
          <w:sz w:val="22"/>
          <w:szCs w:val="22"/>
        </w:rPr>
        <w:t xml:space="preserve"> (SECP)</w:t>
      </w:r>
      <w:r w:rsidRPr="000E1708">
        <w:rPr>
          <w:rFonts w:asciiTheme="minorHAnsi" w:hAnsiTheme="minorHAnsi" w:cstheme="minorHAnsi"/>
          <w:color w:val="000000"/>
          <w:sz w:val="22"/>
          <w:szCs w:val="22"/>
        </w:rPr>
        <w:t xml:space="preserve"> in general with timely and precise information about AGL and its operations. The </w:t>
      </w:r>
      <w:r w:rsidR="00C0043D">
        <w:rPr>
          <w:rFonts w:asciiTheme="minorHAnsi" w:hAnsiTheme="minorHAnsi" w:cstheme="minorHAnsi"/>
          <w:color w:val="000000"/>
          <w:sz w:val="22"/>
          <w:szCs w:val="22"/>
        </w:rPr>
        <w:t>C</w:t>
      </w:r>
      <w:r w:rsidRPr="000E1708">
        <w:rPr>
          <w:rFonts w:asciiTheme="minorHAnsi" w:hAnsiTheme="minorHAnsi" w:cstheme="minorHAnsi"/>
          <w:color w:val="000000"/>
          <w:sz w:val="22"/>
          <w:szCs w:val="22"/>
        </w:rPr>
        <w:t xml:space="preserve">IR team is responsible for all day-to-day contact with AGL’s </w:t>
      </w:r>
      <w:r w:rsidR="00C0043D">
        <w:rPr>
          <w:rFonts w:asciiTheme="minorHAnsi" w:hAnsiTheme="minorHAnsi" w:cstheme="minorHAnsi"/>
          <w:color w:val="000000"/>
          <w:sz w:val="22"/>
          <w:szCs w:val="22"/>
        </w:rPr>
        <w:t>investors/</w:t>
      </w:r>
      <w:r w:rsidRPr="000E1708">
        <w:rPr>
          <w:rFonts w:asciiTheme="minorHAnsi" w:hAnsiTheme="minorHAnsi" w:cstheme="minorHAnsi"/>
          <w:color w:val="000000"/>
          <w:sz w:val="22"/>
          <w:szCs w:val="22"/>
        </w:rPr>
        <w:t xml:space="preserve">shareholders on behalf of the Company. </w:t>
      </w:r>
    </w:p>
    <w:p w:rsidR="000E1708" w:rsidRPr="000E1708" w:rsidRDefault="000E1708" w:rsidP="000E1708">
      <w:pPr>
        <w:autoSpaceDE w:val="0"/>
        <w:autoSpaceDN w:val="0"/>
        <w:adjustRightInd w:val="0"/>
        <w:spacing w:before="100" w:line="181" w:lineRule="atLeast"/>
        <w:ind w:left="90" w:firstLine="0"/>
        <w:rPr>
          <w:rFonts w:asciiTheme="minorHAnsi" w:hAnsiTheme="minorHAnsi" w:cstheme="minorHAnsi"/>
          <w:color w:val="000000"/>
          <w:sz w:val="22"/>
          <w:szCs w:val="22"/>
        </w:rPr>
      </w:pPr>
      <w:r w:rsidRPr="000E1708">
        <w:rPr>
          <w:rFonts w:asciiTheme="minorHAnsi" w:hAnsiTheme="minorHAnsi" w:cstheme="minorHAnsi"/>
          <w:color w:val="000000"/>
          <w:sz w:val="22"/>
          <w:szCs w:val="22"/>
        </w:rPr>
        <w:t>Inside information shall be dealt with in compliance with the legal obligations for handling of inside informa</w:t>
      </w:r>
      <w:r w:rsidRPr="000E1708">
        <w:rPr>
          <w:rFonts w:asciiTheme="minorHAnsi" w:hAnsiTheme="minorHAnsi" w:cstheme="minorHAnsi"/>
          <w:color w:val="000000"/>
          <w:sz w:val="22"/>
          <w:szCs w:val="22"/>
        </w:rPr>
        <w:softHyphen/>
        <w:t xml:space="preserve">tion. The </w:t>
      </w:r>
      <w:r w:rsidR="00C0043D">
        <w:rPr>
          <w:rFonts w:asciiTheme="minorHAnsi" w:hAnsiTheme="minorHAnsi" w:cstheme="minorHAnsi"/>
          <w:color w:val="000000"/>
          <w:sz w:val="22"/>
          <w:szCs w:val="22"/>
        </w:rPr>
        <w:t>C</w:t>
      </w:r>
      <w:r w:rsidRPr="000E1708">
        <w:rPr>
          <w:rFonts w:asciiTheme="minorHAnsi" w:hAnsiTheme="minorHAnsi" w:cstheme="minorHAnsi"/>
          <w:color w:val="000000"/>
          <w:sz w:val="22"/>
          <w:szCs w:val="22"/>
        </w:rPr>
        <w:t>IR team may continually communicate with shareholders for the purposes of developing an under</w:t>
      </w:r>
      <w:r w:rsidRPr="000E1708">
        <w:rPr>
          <w:rFonts w:asciiTheme="minorHAnsi" w:hAnsiTheme="minorHAnsi" w:cstheme="minorHAnsi"/>
          <w:color w:val="000000"/>
          <w:sz w:val="22"/>
          <w:szCs w:val="22"/>
        </w:rPr>
        <w:softHyphen/>
        <w:t xml:space="preserve">standing of </w:t>
      </w:r>
      <w:r w:rsidR="00C0043D">
        <w:rPr>
          <w:rFonts w:asciiTheme="minorHAnsi" w:hAnsiTheme="minorHAnsi" w:cstheme="minorHAnsi"/>
          <w:color w:val="000000"/>
          <w:sz w:val="22"/>
          <w:szCs w:val="22"/>
        </w:rPr>
        <w:t>the</w:t>
      </w:r>
      <w:r w:rsidRPr="000E1708">
        <w:rPr>
          <w:rFonts w:asciiTheme="minorHAnsi" w:hAnsiTheme="minorHAnsi" w:cstheme="minorHAnsi"/>
          <w:color w:val="000000"/>
          <w:sz w:val="22"/>
          <w:szCs w:val="22"/>
        </w:rPr>
        <w:t xml:space="preserve"> matters affecting AGL from time to time that are of particular importance to its shareholders. </w:t>
      </w:r>
    </w:p>
    <w:p w:rsidR="001B4C44" w:rsidRPr="001B4C44" w:rsidRDefault="000E1708" w:rsidP="000E1708">
      <w:pPr>
        <w:autoSpaceDE w:val="0"/>
        <w:autoSpaceDN w:val="0"/>
        <w:adjustRightInd w:val="0"/>
        <w:spacing w:before="100" w:line="181" w:lineRule="atLeast"/>
        <w:ind w:left="90" w:firstLine="0"/>
        <w:rPr>
          <w:rFonts w:asciiTheme="minorHAnsi" w:hAnsiTheme="minorHAnsi" w:cstheme="minorHAnsi"/>
          <w:color w:val="000000"/>
          <w:sz w:val="22"/>
          <w:szCs w:val="22"/>
        </w:rPr>
      </w:pPr>
      <w:r w:rsidRPr="000E1708">
        <w:rPr>
          <w:rFonts w:asciiTheme="minorHAnsi" w:hAnsiTheme="minorHAnsi" w:cstheme="minorHAnsi"/>
          <w:color w:val="000000"/>
          <w:sz w:val="22"/>
          <w:szCs w:val="22"/>
        </w:rPr>
        <w:t xml:space="preserve">Relevant information about AGL shall be given in the form of </w:t>
      </w:r>
      <w:r w:rsidR="00C0043D">
        <w:rPr>
          <w:rFonts w:asciiTheme="minorHAnsi" w:hAnsiTheme="minorHAnsi" w:cstheme="minorHAnsi"/>
          <w:color w:val="000000"/>
          <w:sz w:val="22"/>
          <w:szCs w:val="22"/>
        </w:rPr>
        <w:t xml:space="preserve">quarterly, half yearly and </w:t>
      </w:r>
      <w:r w:rsidRPr="000E1708">
        <w:rPr>
          <w:rFonts w:asciiTheme="minorHAnsi" w:hAnsiTheme="minorHAnsi" w:cstheme="minorHAnsi"/>
          <w:color w:val="000000"/>
          <w:sz w:val="22"/>
          <w:szCs w:val="22"/>
        </w:rPr>
        <w:t xml:space="preserve">annual reports, press releases, notices to </w:t>
      </w:r>
      <w:r w:rsidR="00C0043D">
        <w:rPr>
          <w:rFonts w:asciiTheme="minorHAnsi" w:hAnsiTheme="minorHAnsi" w:cstheme="minorHAnsi"/>
          <w:color w:val="000000"/>
          <w:sz w:val="22"/>
          <w:szCs w:val="22"/>
        </w:rPr>
        <w:t xml:space="preserve">PSX </w:t>
      </w:r>
      <w:r w:rsidRPr="000E1708">
        <w:rPr>
          <w:rFonts w:asciiTheme="minorHAnsi" w:hAnsiTheme="minorHAnsi" w:cstheme="minorHAnsi"/>
          <w:color w:val="000000"/>
          <w:sz w:val="22"/>
          <w:szCs w:val="22"/>
        </w:rPr>
        <w:t>and investor</w:t>
      </w:r>
      <w:r w:rsidR="00C0043D">
        <w:rPr>
          <w:rFonts w:asciiTheme="minorHAnsi" w:hAnsiTheme="minorHAnsi" w:cstheme="minorHAnsi"/>
          <w:color w:val="000000"/>
          <w:sz w:val="22"/>
          <w:szCs w:val="22"/>
        </w:rPr>
        <w:t>s/shareholders</w:t>
      </w:r>
      <w:r w:rsidRPr="000E1708">
        <w:rPr>
          <w:rFonts w:asciiTheme="minorHAnsi" w:hAnsiTheme="minorHAnsi" w:cstheme="minorHAnsi"/>
          <w:color w:val="000000"/>
          <w:sz w:val="22"/>
          <w:szCs w:val="22"/>
        </w:rPr>
        <w:t xml:space="preserve"> presentations in accordance with what is deemed appropriate from time to time. All such information shall be published on the AGL website</w:t>
      </w:r>
      <w:r w:rsidR="001B4C44">
        <w:rPr>
          <w:rFonts w:asciiTheme="minorHAnsi" w:hAnsiTheme="minorHAnsi" w:cstheme="minorHAnsi"/>
          <w:color w:val="000000"/>
          <w:sz w:val="22"/>
          <w:szCs w:val="22"/>
        </w:rPr>
        <w:t xml:space="preserve"> </w:t>
      </w:r>
      <w:r w:rsidR="001B4C44" w:rsidRPr="001B4C44">
        <w:rPr>
          <w:rFonts w:asciiTheme="minorHAnsi" w:hAnsiTheme="minorHAnsi" w:cstheme="minorHAnsi"/>
          <w:color w:val="000000"/>
          <w:sz w:val="22"/>
          <w:szCs w:val="22"/>
        </w:rPr>
        <w:t xml:space="preserve">http:// </w:t>
      </w:r>
      <w:hyperlink r:id="rId10" w:history="1">
        <w:r w:rsidR="001B4C44" w:rsidRPr="001B4C44">
          <w:rPr>
            <w:rStyle w:val="Hyperlink"/>
            <w:rFonts w:asciiTheme="minorHAnsi" w:hAnsiTheme="minorHAnsi" w:cstheme="minorHAnsi"/>
            <w:sz w:val="22"/>
            <w:szCs w:val="22"/>
          </w:rPr>
          <w:t>www.pafl.com.pk</w:t>
        </w:r>
      </w:hyperlink>
    </w:p>
    <w:p w:rsidR="00C0043D" w:rsidRPr="00C0043D" w:rsidRDefault="00C0043D" w:rsidP="00C0043D">
      <w:pPr>
        <w:autoSpaceDE w:val="0"/>
        <w:autoSpaceDN w:val="0"/>
        <w:adjustRightInd w:val="0"/>
        <w:spacing w:before="100" w:line="181" w:lineRule="atLeast"/>
        <w:ind w:left="90" w:firstLine="0"/>
        <w:rPr>
          <w:rFonts w:asciiTheme="minorHAnsi" w:hAnsiTheme="minorHAnsi" w:cstheme="minorHAnsi"/>
          <w:color w:val="000000"/>
          <w:sz w:val="22"/>
          <w:szCs w:val="22"/>
        </w:rPr>
      </w:pPr>
      <w:r w:rsidRPr="00C0043D">
        <w:rPr>
          <w:rFonts w:asciiTheme="minorHAnsi" w:hAnsiTheme="minorHAnsi" w:cstheme="minorHAnsi"/>
          <w:color w:val="000000"/>
          <w:sz w:val="22"/>
          <w:szCs w:val="22"/>
        </w:rPr>
        <w:t xml:space="preserve">Disclosure and reporting to the financial markets and contact with shareholders, investors and </w:t>
      </w:r>
      <w:r>
        <w:rPr>
          <w:rFonts w:asciiTheme="minorHAnsi" w:hAnsiTheme="minorHAnsi" w:cstheme="minorHAnsi"/>
          <w:color w:val="000000"/>
          <w:sz w:val="22"/>
          <w:szCs w:val="22"/>
        </w:rPr>
        <w:t xml:space="preserve">financial </w:t>
      </w:r>
      <w:r w:rsidRPr="00C0043D">
        <w:rPr>
          <w:rFonts w:asciiTheme="minorHAnsi" w:hAnsiTheme="minorHAnsi" w:cstheme="minorHAnsi"/>
          <w:color w:val="000000"/>
          <w:sz w:val="22"/>
          <w:szCs w:val="22"/>
        </w:rPr>
        <w:t xml:space="preserve">analysts shall be based on the following main principles: </w:t>
      </w:r>
    </w:p>
    <w:p w:rsidR="00C0043D" w:rsidRPr="00C0043D" w:rsidRDefault="00C0043D" w:rsidP="001B4C44">
      <w:pPr>
        <w:autoSpaceDE w:val="0"/>
        <w:autoSpaceDN w:val="0"/>
        <w:adjustRightInd w:val="0"/>
        <w:spacing w:before="100" w:line="181" w:lineRule="atLeast"/>
        <w:rPr>
          <w:rFonts w:asciiTheme="minorHAnsi" w:hAnsiTheme="minorHAnsi" w:cstheme="minorHAnsi"/>
          <w:color w:val="000000"/>
          <w:sz w:val="22"/>
          <w:szCs w:val="22"/>
        </w:rPr>
      </w:pPr>
    </w:p>
    <w:p w:rsidR="00C0043D" w:rsidRPr="00C0043D" w:rsidRDefault="00C0043D" w:rsidP="001B4C44">
      <w:pPr>
        <w:pStyle w:val="Pa3"/>
        <w:ind w:left="720"/>
        <w:jc w:val="both"/>
        <w:rPr>
          <w:rFonts w:asciiTheme="minorHAnsi" w:hAnsiTheme="minorHAnsi" w:cstheme="minorHAnsi"/>
          <w:color w:val="000000"/>
          <w:sz w:val="22"/>
          <w:szCs w:val="22"/>
        </w:rPr>
      </w:pPr>
      <w:r w:rsidRPr="00C0043D">
        <w:rPr>
          <w:rFonts w:asciiTheme="minorHAnsi" w:hAnsiTheme="minorHAnsi" w:cstheme="minorHAnsi"/>
          <w:b/>
          <w:color w:val="000000"/>
          <w:sz w:val="22"/>
          <w:szCs w:val="22"/>
        </w:rPr>
        <w:t xml:space="preserve">Compliance with </w:t>
      </w:r>
      <w:r>
        <w:rPr>
          <w:rFonts w:asciiTheme="minorHAnsi" w:hAnsiTheme="minorHAnsi" w:cstheme="minorHAnsi"/>
          <w:b/>
          <w:color w:val="000000"/>
          <w:sz w:val="22"/>
          <w:szCs w:val="22"/>
        </w:rPr>
        <w:t>L</w:t>
      </w:r>
      <w:r w:rsidRPr="00C0043D">
        <w:rPr>
          <w:rFonts w:asciiTheme="minorHAnsi" w:hAnsiTheme="minorHAnsi" w:cstheme="minorHAnsi"/>
          <w:b/>
          <w:color w:val="000000"/>
          <w:sz w:val="22"/>
          <w:szCs w:val="22"/>
        </w:rPr>
        <w:t xml:space="preserve">aws and </w:t>
      </w:r>
      <w:r>
        <w:rPr>
          <w:rFonts w:asciiTheme="minorHAnsi" w:hAnsiTheme="minorHAnsi" w:cstheme="minorHAnsi"/>
          <w:b/>
          <w:color w:val="000000"/>
          <w:sz w:val="22"/>
          <w:szCs w:val="22"/>
        </w:rPr>
        <w:t>R</w:t>
      </w:r>
      <w:r w:rsidRPr="00C0043D">
        <w:rPr>
          <w:rFonts w:asciiTheme="minorHAnsi" w:hAnsiTheme="minorHAnsi" w:cstheme="minorHAnsi"/>
          <w:b/>
          <w:color w:val="000000"/>
          <w:sz w:val="22"/>
          <w:szCs w:val="22"/>
        </w:rPr>
        <w:t>egulations</w:t>
      </w:r>
      <w:r w:rsidRPr="00C0043D">
        <w:rPr>
          <w:rFonts w:asciiTheme="minorHAnsi" w:hAnsiTheme="minorHAnsi" w:cstheme="minorHAnsi"/>
          <w:color w:val="000000"/>
          <w:sz w:val="22"/>
          <w:szCs w:val="22"/>
        </w:rPr>
        <w:t xml:space="preserve">: All disclosure, communication and reporting shall be in compliance with the applicable laws and regulations from time to time, in particular the Companies Act 2017, Securities Act 2015 and Pakistan Stock Exchange Rule Book as amended from time to time elucidating obligations for listed companies. AGL shall also comply with the relevant recommendations and market practices for reporting financial and other </w:t>
      </w:r>
      <w:r w:rsidR="001B4C44">
        <w:rPr>
          <w:rFonts w:asciiTheme="minorHAnsi" w:hAnsiTheme="minorHAnsi" w:cstheme="minorHAnsi"/>
          <w:color w:val="000000"/>
          <w:sz w:val="22"/>
          <w:szCs w:val="22"/>
        </w:rPr>
        <w:t>C</w:t>
      </w:r>
      <w:r w:rsidRPr="00C0043D">
        <w:rPr>
          <w:rFonts w:asciiTheme="minorHAnsi" w:hAnsiTheme="minorHAnsi" w:cstheme="minorHAnsi"/>
          <w:color w:val="000000"/>
          <w:sz w:val="22"/>
          <w:szCs w:val="22"/>
        </w:rPr>
        <w:t xml:space="preserve">IR information. </w:t>
      </w:r>
    </w:p>
    <w:p w:rsidR="001B4C44" w:rsidRDefault="001B4C44" w:rsidP="001B4C44">
      <w:pPr>
        <w:pStyle w:val="Pa3"/>
        <w:ind w:left="720"/>
        <w:jc w:val="both"/>
        <w:rPr>
          <w:rFonts w:asciiTheme="minorHAnsi" w:hAnsiTheme="minorHAnsi" w:cstheme="minorHAnsi"/>
          <w:b/>
          <w:color w:val="000000"/>
          <w:sz w:val="22"/>
          <w:szCs w:val="22"/>
        </w:rPr>
      </w:pPr>
    </w:p>
    <w:p w:rsidR="00C0043D" w:rsidRPr="00C0043D" w:rsidRDefault="00C0043D" w:rsidP="001B4C44">
      <w:pPr>
        <w:pStyle w:val="Pa3"/>
        <w:ind w:left="720"/>
        <w:jc w:val="both"/>
        <w:rPr>
          <w:rFonts w:asciiTheme="minorHAnsi" w:hAnsiTheme="minorHAnsi" w:cstheme="minorHAnsi"/>
          <w:color w:val="000000"/>
          <w:sz w:val="22"/>
          <w:szCs w:val="22"/>
        </w:rPr>
      </w:pPr>
      <w:r w:rsidRPr="001B4C44">
        <w:rPr>
          <w:rFonts w:asciiTheme="minorHAnsi" w:hAnsiTheme="minorHAnsi" w:cstheme="minorHAnsi"/>
          <w:b/>
          <w:color w:val="000000"/>
          <w:sz w:val="22"/>
          <w:szCs w:val="22"/>
        </w:rPr>
        <w:t>Language</w:t>
      </w:r>
      <w:r w:rsidRPr="00C0043D">
        <w:rPr>
          <w:rFonts w:asciiTheme="minorHAnsi" w:hAnsiTheme="minorHAnsi" w:cstheme="minorHAnsi"/>
          <w:color w:val="000000"/>
          <w:sz w:val="22"/>
          <w:szCs w:val="22"/>
        </w:rPr>
        <w:t xml:space="preserve">: All financial and other </w:t>
      </w:r>
      <w:r w:rsidR="001B4C44">
        <w:rPr>
          <w:rFonts w:asciiTheme="minorHAnsi" w:hAnsiTheme="minorHAnsi" w:cstheme="minorHAnsi"/>
          <w:color w:val="000000"/>
          <w:sz w:val="22"/>
          <w:szCs w:val="22"/>
        </w:rPr>
        <w:t>C</w:t>
      </w:r>
      <w:r w:rsidRPr="00C0043D">
        <w:rPr>
          <w:rFonts w:asciiTheme="minorHAnsi" w:hAnsiTheme="minorHAnsi" w:cstheme="minorHAnsi"/>
          <w:color w:val="000000"/>
          <w:sz w:val="22"/>
          <w:szCs w:val="22"/>
        </w:rPr>
        <w:t xml:space="preserve">IR information shall be published in English &amp; Urdu or as required under law. </w:t>
      </w:r>
    </w:p>
    <w:p w:rsidR="001B4C44" w:rsidRDefault="00C0043D" w:rsidP="001B4C44">
      <w:pPr>
        <w:pStyle w:val="Pa3"/>
        <w:ind w:left="720"/>
        <w:jc w:val="both"/>
        <w:rPr>
          <w:rFonts w:asciiTheme="minorHAnsi" w:hAnsiTheme="minorHAnsi" w:cstheme="minorHAnsi"/>
          <w:color w:val="000000"/>
          <w:sz w:val="22"/>
          <w:szCs w:val="22"/>
        </w:rPr>
      </w:pPr>
      <w:r w:rsidRPr="00C0043D">
        <w:rPr>
          <w:rFonts w:asciiTheme="minorHAnsi" w:hAnsiTheme="minorHAnsi" w:cstheme="minorHAnsi"/>
          <w:color w:val="000000"/>
          <w:sz w:val="22"/>
          <w:szCs w:val="22"/>
        </w:rPr>
        <w:t xml:space="preserve"> </w:t>
      </w:r>
    </w:p>
    <w:p w:rsidR="00C0043D" w:rsidRPr="00C0043D" w:rsidRDefault="00C0043D" w:rsidP="001B4C44">
      <w:pPr>
        <w:pStyle w:val="Pa3"/>
        <w:ind w:left="720"/>
        <w:jc w:val="both"/>
        <w:rPr>
          <w:rFonts w:asciiTheme="minorHAnsi" w:hAnsiTheme="minorHAnsi" w:cstheme="minorHAnsi"/>
          <w:color w:val="000000"/>
          <w:sz w:val="22"/>
          <w:szCs w:val="22"/>
        </w:rPr>
      </w:pPr>
      <w:r w:rsidRPr="001B4C44">
        <w:rPr>
          <w:rFonts w:asciiTheme="minorHAnsi" w:hAnsiTheme="minorHAnsi" w:cstheme="minorHAnsi"/>
          <w:b/>
          <w:color w:val="000000"/>
          <w:sz w:val="22"/>
          <w:szCs w:val="22"/>
        </w:rPr>
        <w:t xml:space="preserve">Information on </w:t>
      </w:r>
      <w:r w:rsidR="001B4C44">
        <w:rPr>
          <w:rFonts w:asciiTheme="minorHAnsi" w:hAnsiTheme="minorHAnsi" w:cstheme="minorHAnsi"/>
          <w:b/>
          <w:color w:val="000000"/>
          <w:sz w:val="22"/>
          <w:szCs w:val="22"/>
        </w:rPr>
        <w:t>V</w:t>
      </w:r>
      <w:r w:rsidRPr="001B4C44">
        <w:rPr>
          <w:rFonts w:asciiTheme="minorHAnsi" w:hAnsiTheme="minorHAnsi" w:cstheme="minorHAnsi"/>
          <w:b/>
          <w:color w:val="000000"/>
          <w:sz w:val="22"/>
          <w:szCs w:val="22"/>
        </w:rPr>
        <w:t xml:space="preserve">alue </w:t>
      </w:r>
      <w:r w:rsidR="001B4C44">
        <w:rPr>
          <w:rFonts w:asciiTheme="minorHAnsi" w:hAnsiTheme="minorHAnsi" w:cstheme="minorHAnsi"/>
          <w:b/>
          <w:color w:val="000000"/>
          <w:sz w:val="22"/>
          <w:szCs w:val="22"/>
        </w:rPr>
        <w:t>D</w:t>
      </w:r>
      <w:r w:rsidRPr="001B4C44">
        <w:rPr>
          <w:rFonts w:asciiTheme="minorHAnsi" w:hAnsiTheme="minorHAnsi" w:cstheme="minorHAnsi"/>
          <w:b/>
          <w:color w:val="000000"/>
          <w:sz w:val="22"/>
          <w:szCs w:val="22"/>
        </w:rPr>
        <w:t>rivers</w:t>
      </w:r>
      <w:r w:rsidRPr="00C0043D">
        <w:rPr>
          <w:rFonts w:asciiTheme="minorHAnsi" w:hAnsiTheme="minorHAnsi" w:cstheme="minorHAnsi"/>
          <w:color w:val="000000"/>
          <w:sz w:val="22"/>
          <w:szCs w:val="22"/>
        </w:rPr>
        <w:t>: AGL shall publish accurate and relevant information about its historical earnings, operations, outlook and any other information that AGL has defined as signifi</w:t>
      </w:r>
      <w:r w:rsidR="001B4C44">
        <w:rPr>
          <w:rFonts w:asciiTheme="minorHAnsi" w:hAnsiTheme="minorHAnsi" w:cstheme="minorHAnsi"/>
          <w:color w:val="000000"/>
          <w:sz w:val="22"/>
          <w:szCs w:val="22"/>
        </w:rPr>
        <w:t>cant and relevant for the shareholders</w:t>
      </w:r>
      <w:r w:rsidRPr="00C0043D">
        <w:rPr>
          <w:rFonts w:asciiTheme="minorHAnsi" w:hAnsiTheme="minorHAnsi" w:cstheme="minorHAnsi"/>
          <w:color w:val="000000"/>
          <w:sz w:val="22"/>
          <w:szCs w:val="22"/>
        </w:rPr>
        <w:t xml:space="preserve">. </w:t>
      </w:r>
    </w:p>
    <w:p w:rsidR="001B4C44" w:rsidRDefault="001B4C44" w:rsidP="001B4C44">
      <w:pPr>
        <w:pStyle w:val="ListParagraph"/>
        <w:spacing w:after="160" w:line="259" w:lineRule="auto"/>
        <w:ind w:firstLine="0"/>
        <w:contextualSpacing/>
        <w:rPr>
          <w:rFonts w:asciiTheme="minorHAnsi" w:hAnsiTheme="minorHAnsi" w:cstheme="minorHAnsi"/>
          <w:b/>
          <w:color w:val="000000"/>
          <w:sz w:val="22"/>
          <w:szCs w:val="22"/>
        </w:rPr>
      </w:pPr>
    </w:p>
    <w:p w:rsidR="00C0043D" w:rsidRDefault="001B4C44" w:rsidP="001B4C44">
      <w:pPr>
        <w:pStyle w:val="ListParagraph"/>
        <w:spacing w:after="160" w:line="259" w:lineRule="auto"/>
        <w:ind w:firstLine="0"/>
        <w:contextualSpacing/>
        <w:rPr>
          <w:rFonts w:asciiTheme="minorHAnsi" w:hAnsiTheme="minorHAnsi" w:cstheme="minorHAnsi"/>
          <w:color w:val="000000"/>
          <w:sz w:val="22"/>
          <w:szCs w:val="22"/>
        </w:rPr>
      </w:pPr>
      <w:r>
        <w:rPr>
          <w:rFonts w:asciiTheme="minorHAnsi" w:hAnsiTheme="minorHAnsi" w:cstheme="minorHAnsi"/>
          <w:b/>
          <w:color w:val="000000"/>
          <w:sz w:val="22"/>
          <w:szCs w:val="22"/>
        </w:rPr>
        <w:t>CIR Events and Arena</w:t>
      </w:r>
      <w:r w:rsidR="00C0043D" w:rsidRPr="00C0043D">
        <w:rPr>
          <w:rFonts w:asciiTheme="minorHAnsi" w:hAnsiTheme="minorHAnsi" w:cstheme="minorHAnsi"/>
          <w:color w:val="000000"/>
          <w:sz w:val="22"/>
          <w:szCs w:val="22"/>
        </w:rPr>
        <w:t xml:space="preserve">: </w:t>
      </w:r>
      <w:r w:rsidRPr="001B4C44">
        <w:rPr>
          <w:rFonts w:asciiTheme="minorHAnsi" w:hAnsiTheme="minorHAnsi" w:cstheme="minorHAnsi"/>
          <w:color w:val="000000"/>
          <w:sz w:val="22"/>
          <w:szCs w:val="22"/>
        </w:rPr>
        <w:t xml:space="preserve">In addition to making information easily available on a timely basis to shareholders and the financial markets in general, the </w:t>
      </w:r>
      <w:r>
        <w:rPr>
          <w:rFonts w:asciiTheme="minorHAnsi" w:hAnsiTheme="minorHAnsi" w:cstheme="minorHAnsi"/>
          <w:color w:val="000000"/>
          <w:sz w:val="22"/>
          <w:szCs w:val="22"/>
        </w:rPr>
        <w:t>C</w:t>
      </w:r>
      <w:r w:rsidRPr="001B4C44">
        <w:rPr>
          <w:rFonts w:asciiTheme="minorHAnsi" w:hAnsiTheme="minorHAnsi" w:cstheme="minorHAnsi"/>
          <w:color w:val="000000"/>
          <w:sz w:val="22"/>
          <w:szCs w:val="22"/>
        </w:rPr>
        <w:t>IR team shall prioritise raising</w:t>
      </w:r>
      <w:r>
        <w:rPr>
          <w:rFonts w:asciiTheme="minorHAnsi" w:hAnsiTheme="minorHAnsi" w:cstheme="minorHAnsi"/>
          <w:color w:val="000000"/>
          <w:sz w:val="22"/>
          <w:szCs w:val="22"/>
        </w:rPr>
        <w:t xml:space="preserve"> awareness of the investors/shareholders</w:t>
      </w:r>
      <w:r w:rsidRPr="001B4C44">
        <w:rPr>
          <w:rFonts w:asciiTheme="minorHAnsi" w:hAnsiTheme="minorHAnsi" w:cstheme="minorHAnsi"/>
          <w:color w:val="000000"/>
          <w:sz w:val="22"/>
          <w:szCs w:val="22"/>
        </w:rPr>
        <w:t xml:space="preserve"> among various market participants - both nationally and internationally</w:t>
      </w:r>
      <w:r>
        <w:rPr>
          <w:rFonts w:asciiTheme="minorHAnsi" w:hAnsiTheme="minorHAnsi" w:cstheme="minorHAnsi"/>
          <w:color w:val="000000"/>
          <w:sz w:val="22"/>
          <w:szCs w:val="22"/>
        </w:rPr>
        <w:t xml:space="preserve"> as and when required.</w:t>
      </w:r>
    </w:p>
    <w:p w:rsidR="001B4C44" w:rsidRPr="001B4C44" w:rsidRDefault="001B4C44" w:rsidP="001B4C44">
      <w:pPr>
        <w:autoSpaceDE w:val="0"/>
        <w:autoSpaceDN w:val="0"/>
        <w:adjustRightInd w:val="0"/>
        <w:spacing w:line="181" w:lineRule="atLeast"/>
        <w:ind w:left="720" w:firstLine="0"/>
        <w:rPr>
          <w:rFonts w:asciiTheme="minorHAnsi" w:hAnsiTheme="minorHAnsi" w:cstheme="minorHAnsi"/>
          <w:sz w:val="22"/>
          <w:szCs w:val="22"/>
        </w:rPr>
      </w:pPr>
      <w:r w:rsidRPr="001B4C44">
        <w:rPr>
          <w:rFonts w:asciiTheme="minorHAnsi" w:hAnsiTheme="minorHAnsi" w:cstheme="minorHAnsi"/>
          <w:b/>
          <w:color w:val="000000"/>
          <w:sz w:val="22"/>
          <w:szCs w:val="22"/>
        </w:rPr>
        <w:t>Corporate Briefing Sessions</w:t>
      </w:r>
      <w:r>
        <w:rPr>
          <w:rFonts w:asciiTheme="minorHAnsi" w:hAnsiTheme="minorHAnsi" w:cstheme="minorHAnsi"/>
          <w:color w:val="000000"/>
          <w:sz w:val="22"/>
          <w:szCs w:val="22"/>
        </w:rPr>
        <w:t xml:space="preserve">: </w:t>
      </w:r>
      <w:r w:rsidRPr="001B4C44">
        <w:rPr>
          <w:rFonts w:asciiTheme="minorHAnsi" w:hAnsiTheme="minorHAnsi" w:cstheme="minorHAnsi"/>
          <w:color w:val="000000"/>
          <w:sz w:val="22"/>
          <w:szCs w:val="22"/>
        </w:rPr>
        <w:t>AGL shall hold regular meetings with investors and</w:t>
      </w:r>
      <w:r>
        <w:rPr>
          <w:rFonts w:asciiTheme="minorHAnsi" w:hAnsiTheme="minorHAnsi" w:cstheme="minorHAnsi"/>
          <w:color w:val="000000"/>
          <w:sz w:val="22"/>
          <w:szCs w:val="22"/>
        </w:rPr>
        <w:t xml:space="preserve"> financial</w:t>
      </w:r>
      <w:r w:rsidRPr="001B4C44">
        <w:rPr>
          <w:rFonts w:asciiTheme="minorHAnsi" w:hAnsiTheme="minorHAnsi" w:cstheme="minorHAnsi"/>
          <w:color w:val="000000"/>
          <w:sz w:val="22"/>
          <w:szCs w:val="22"/>
        </w:rPr>
        <w:t xml:space="preserve"> analysts </w:t>
      </w:r>
      <w:r>
        <w:rPr>
          <w:rFonts w:asciiTheme="minorHAnsi" w:hAnsiTheme="minorHAnsi" w:cstheme="minorHAnsi"/>
          <w:color w:val="000000"/>
          <w:sz w:val="22"/>
          <w:szCs w:val="22"/>
        </w:rPr>
        <w:t xml:space="preserve">on </w:t>
      </w:r>
      <w:r w:rsidRPr="001B4C44">
        <w:rPr>
          <w:rFonts w:asciiTheme="minorHAnsi" w:hAnsiTheme="minorHAnsi" w:cstheme="minorHAnsi"/>
          <w:color w:val="000000"/>
          <w:sz w:val="22"/>
          <w:szCs w:val="22"/>
        </w:rPr>
        <w:t>yearly and accounting</w:t>
      </w:r>
      <w:r>
        <w:rPr>
          <w:rFonts w:asciiTheme="minorHAnsi" w:hAnsiTheme="minorHAnsi" w:cstheme="minorHAnsi"/>
          <w:color w:val="000000"/>
          <w:sz w:val="22"/>
          <w:szCs w:val="22"/>
        </w:rPr>
        <w:t xml:space="preserve"> reporting</w:t>
      </w:r>
      <w:r w:rsidRPr="001B4C44">
        <w:rPr>
          <w:rFonts w:asciiTheme="minorHAnsi" w:hAnsiTheme="minorHAnsi" w:cstheme="minorHAnsi"/>
          <w:color w:val="000000"/>
          <w:sz w:val="22"/>
          <w:szCs w:val="22"/>
        </w:rPr>
        <w:t xml:space="preserve"> basis</w:t>
      </w:r>
      <w:r>
        <w:rPr>
          <w:rFonts w:asciiTheme="minorHAnsi" w:hAnsiTheme="minorHAnsi" w:cstheme="minorHAnsi"/>
          <w:color w:val="000000"/>
          <w:sz w:val="22"/>
          <w:szCs w:val="22"/>
        </w:rPr>
        <w:t xml:space="preserve"> as defined by the PSX Rules</w:t>
      </w:r>
      <w:r w:rsidRPr="001B4C44">
        <w:rPr>
          <w:rFonts w:asciiTheme="minorHAnsi" w:hAnsiTheme="minorHAnsi" w:cstheme="minorHAnsi"/>
          <w:color w:val="000000"/>
          <w:sz w:val="22"/>
          <w:szCs w:val="22"/>
        </w:rPr>
        <w:t xml:space="preserve">. AGL’s ability to provide information to </w:t>
      </w:r>
      <w:r>
        <w:rPr>
          <w:rFonts w:asciiTheme="minorHAnsi" w:hAnsiTheme="minorHAnsi" w:cstheme="minorHAnsi"/>
          <w:color w:val="000000"/>
          <w:sz w:val="22"/>
          <w:szCs w:val="22"/>
        </w:rPr>
        <w:t xml:space="preserve">the </w:t>
      </w:r>
      <w:r w:rsidRPr="001B4C44">
        <w:rPr>
          <w:rFonts w:asciiTheme="minorHAnsi" w:hAnsiTheme="minorHAnsi" w:cstheme="minorHAnsi"/>
          <w:color w:val="000000"/>
          <w:sz w:val="22"/>
          <w:szCs w:val="22"/>
        </w:rPr>
        <w:t>individual market parti</w:t>
      </w:r>
      <w:r>
        <w:rPr>
          <w:rFonts w:asciiTheme="minorHAnsi" w:hAnsiTheme="minorHAnsi" w:cstheme="minorHAnsi"/>
          <w:color w:val="000000"/>
          <w:sz w:val="22"/>
          <w:szCs w:val="22"/>
        </w:rPr>
        <w:t>cipants, including investors,</w:t>
      </w:r>
      <w:r w:rsidRPr="001B4C4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stock brokers and </w:t>
      </w:r>
      <w:r w:rsidRPr="001B4C44">
        <w:rPr>
          <w:rFonts w:asciiTheme="minorHAnsi" w:hAnsiTheme="minorHAnsi" w:cstheme="minorHAnsi"/>
          <w:color w:val="000000"/>
          <w:sz w:val="22"/>
          <w:szCs w:val="22"/>
        </w:rPr>
        <w:t xml:space="preserve">analysts </w:t>
      </w:r>
      <w:r>
        <w:rPr>
          <w:rFonts w:asciiTheme="minorHAnsi" w:hAnsiTheme="minorHAnsi" w:cstheme="minorHAnsi"/>
          <w:color w:val="000000"/>
          <w:sz w:val="22"/>
          <w:szCs w:val="22"/>
        </w:rPr>
        <w:t>shall be</w:t>
      </w:r>
      <w:r w:rsidRPr="001B4C44">
        <w:rPr>
          <w:rFonts w:asciiTheme="minorHAnsi" w:hAnsiTheme="minorHAnsi" w:cstheme="minorHAnsi"/>
          <w:color w:val="000000"/>
          <w:sz w:val="22"/>
          <w:szCs w:val="22"/>
        </w:rPr>
        <w:t xml:space="preserve"> limited by </w:t>
      </w:r>
      <w:r>
        <w:rPr>
          <w:rFonts w:asciiTheme="minorHAnsi" w:hAnsiTheme="minorHAnsi" w:cstheme="minorHAnsi"/>
          <w:color w:val="000000"/>
          <w:sz w:val="22"/>
          <w:szCs w:val="22"/>
        </w:rPr>
        <w:t xml:space="preserve">the </w:t>
      </w:r>
      <w:r w:rsidRPr="001B4C44">
        <w:rPr>
          <w:rFonts w:asciiTheme="minorHAnsi" w:hAnsiTheme="minorHAnsi" w:cstheme="minorHAnsi"/>
          <w:color w:val="000000"/>
          <w:sz w:val="22"/>
          <w:szCs w:val="22"/>
        </w:rPr>
        <w:t>regulations applicable to</w:t>
      </w:r>
      <w:r>
        <w:rPr>
          <w:rFonts w:asciiTheme="minorHAnsi" w:hAnsiTheme="minorHAnsi" w:cstheme="minorHAnsi"/>
          <w:color w:val="000000"/>
          <w:sz w:val="22"/>
          <w:szCs w:val="22"/>
        </w:rPr>
        <w:t xml:space="preserve"> the</w:t>
      </w:r>
      <w:r w:rsidRPr="001B4C44">
        <w:rPr>
          <w:rFonts w:asciiTheme="minorHAnsi" w:hAnsiTheme="minorHAnsi" w:cstheme="minorHAnsi"/>
          <w:color w:val="000000"/>
          <w:sz w:val="22"/>
          <w:szCs w:val="22"/>
        </w:rPr>
        <w:t xml:space="preserve"> listed companies, including the rules on good stock exchange practices and the general requirement of equal treatment.</w:t>
      </w:r>
    </w:p>
    <w:p w:rsidR="001B4C44" w:rsidRPr="00C0043D" w:rsidRDefault="001B4C44" w:rsidP="001B4C44">
      <w:pPr>
        <w:pStyle w:val="ListParagraph"/>
        <w:spacing w:after="160" w:line="259" w:lineRule="auto"/>
        <w:ind w:firstLine="0"/>
        <w:contextualSpacing/>
        <w:rPr>
          <w:rFonts w:asciiTheme="minorHAnsi" w:hAnsiTheme="minorHAnsi" w:cstheme="minorHAnsi"/>
          <w:color w:val="000000"/>
          <w:sz w:val="22"/>
          <w:szCs w:val="22"/>
        </w:rPr>
      </w:pPr>
    </w:p>
    <w:p w:rsidR="00A403B7" w:rsidRDefault="00A403B7" w:rsidP="00C0043D">
      <w:pPr>
        <w:ind w:left="720" w:firstLine="0"/>
        <w:rPr>
          <w:rFonts w:ascii="Calibri" w:hAnsi="Calibri"/>
          <w:bCs/>
          <w:color w:val="000000"/>
          <w:sz w:val="22"/>
          <w:szCs w:val="22"/>
        </w:rPr>
      </w:pPr>
    </w:p>
    <w:p w:rsidR="001960EB" w:rsidRDefault="001960EB" w:rsidP="00C0043D">
      <w:pPr>
        <w:ind w:left="720" w:firstLine="0"/>
        <w:rPr>
          <w:rFonts w:ascii="Calibri" w:hAnsi="Calibri"/>
          <w:bCs/>
          <w:color w:val="000000"/>
          <w:sz w:val="22"/>
          <w:szCs w:val="22"/>
        </w:rPr>
      </w:pPr>
    </w:p>
    <w:p w:rsidR="001960EB" w:rsidRDefault="001960EB" w:rsidP="00C0043D">
      <w:pPr>
        <w:ind w:left="720" w:firstLine="0"/>
        <w:rPr>
          <w:rFonts w:ascii="Calibri" w:hAnsi="Calibri"/>
          <w:bCs/>
          <w:color w:val="000000"/>
          <w:sz w:val="22"/>
          <w:szCs w:val="22"/>
        </w:rPr>
      </w:pPr>
    </w:p>
    <w:p w:rsidR="001960EB" w:rsidRDefault="001960EB" w:rsidP="00C0043D">
      <w:pPr>
        <w:ind w:left="720" w:firstLine="0"/>
        <w:rPr>
          <w:rFonts w:ascii="Calibri" w:hAnsi="Calibri"/>
          <w:b/>
          <w:color w:val="000000"/>
          <w:sz w:val="24"/>
          <w:szCs w:val="24"/>
        </w:rPr>
      </w:pPr>
    </w:p>
    <w:p w:rsidR="001960EB" w:rsidRDefault="001960EB" w:rsidP="00C0043D">
      <w:pPr>
        <w:ind w:left="720" w:firstLine="0"/>
        <w:rPr>
          <w:rFonts w:ascii="Calibri" w:hAnsi="Calibri"/>
          <w:b/>
          <w:color w:val="000000"/>
          <w:sz w:val="24"/>
          <w:szCs w:val="24"/>
        </w:rPr>
      </w:pPr>
    </w:p>
    <w:p w:rsidR="001960EB" w:rsidRDefault="001960EB" w:rsidP="00C0043D">
      <w:pPr>
        <w:ind w:left="720" w:firstLine="0"/>
        <w:rPr>
          <w:rFonts w:ascii="Calibri" w:hAnsi="Calibri"/>
          <w:b/>
          <w:color w:val="000000"/>
          <w:sz w:val="24"/>
          <w:szCs w:val="24"/>
        </w:rPr>
      </w:pPr>
    </w:p>
    <w:p w:rsidR="001960EB" w:rsidRDefault="001960EB" w:rsidP="00C0043D">
      <w:pPr>
        <w:ind w:left="720" w:firstLine="0"/>
        <w:rPr>
          <w:rFonts w:ascii="Calibri" w:hAnsi="Calibri"/>
          <w:b/>
          <w:color w:val="000000"/>
          <w:sz w:val="24"/>
          <w:szCs w:val="24"/>
        </w:rPr>
      </w:pPr>
    </w:p>
    <w:p w:rsidR="001960EB" w:rsidRDefault="001960EB" w:rsidP="00C0043D">
      <w:pPr>
        <w:ind w:left="720" w:firstLine="0"/>
        <w:rPr>
          <w:rFonts w:ascii="Calibri" w:hAnsi="Calibri"/>
          <w:b/>
          <w:color w:val="000000"/>
          <w:sz w:val="24"/>
          <w:szCs w:val="24"/>
        </w:rPr>
      </w:pPr>
    </w:p>
    <w:p w:rsidR="001960EB" w:rsidRDefault="001960EB" w:rsidP="00C0043D">
      <w:pPr>
        <w:ind w:left="720" w:firstLine="0"/>
        <w:rPr>
          <w:rFonts w:ascii="Calibri" w:hAnsi="Calibri"/>
          <w:b/>
          <w:color w:val="000000"/>
          <w:sz w:val="24"/>
          <w:szCs w:val="24"/>
        </w:rPr>
      </w:pPr>
    </w:p>
    <w:p w:rsidR="001960EB" w:rsidRPr="001960EB" w:rsidRDefault="001960EB" w:rsidP="00C0043D">
      <w:pPr>
        <w:ind w:left="720" w:firstLine="0"/>
        <w:rPr>
          <w:rFonts w:ascii="Calibri" w:hAnsi="Calibri"/>
          <w:b/>
          <w:color w:val="000000"/>
          <w:sz w:val="24"/>
          <w:szCs w:val="24"/>
        </w:rPr>
      </w:pPr>
      <w:r w:rsidRPr="001960EB">
        <w:rPr>
          <w:rFonts w:ascii="Calibri" w:hAnsi="Calibri"/>
          <w:b/>
          <w:color w:val="000000"/>
          <w:sz w:val="24"/>
          <w:szCs w:val="24"/>
        </w:rPr>
        <w:t>(Head of Legal &amp; Company Secretary)</w:t>
      </w:r>
      <w:r w:rsidRPr="001960EB">
        <w:rPr>
          <w:rFonts w:ascii="Calibri" w:hAnsi="Calibri"/>
          <w:b/>
          <w:color w:val="000000"/>
          <w:sz w:val="24"/>
          <w:szCs w:val="24"/>
        </w:rPr>
        <w:tab/>
      </w:r>
      <w:r w:rsidRPr="001960EB">
        <w:rPr>
          <w:rFonts w:ascii="Calibri" w:hAnsi="Calibri"/>
          <w:b/>
          <w:color w:val="000000"/>
          <w:sz w:val="24"/>
          <w:szCs w:val="24"/>
        </w:rPr>
        <w:tab/>
      </w:r>
      <w:r w:rsidRPr="001960EB">
        <w:rPr>
          <w:rFonts w:ascii="Calibri" w:hAnsi="Calibri"/>
          <w:b/>
          <w:color w:val="000000"/>
          <w:sz w:val="24"/>
          <w:szCs w:val="24"/>
        </w:rPr>
        <w:tab/>
        <w:t>(Chief Executive Officer)</w:t>
      </w:r>
    </w:p>
    <w:sectPr w:rsidR="001960EB" w:rsidRPr="001960EB" w:rsidSect="0021591F">
      <w:footerReference w:type="default" r:id="rId11"/>
      <w:footerReference w:type="first" r:id="rId12"/>
      <w:type w:val="continuous"/>
      <w:pgSz w:w="11907" w:h="16839" w:code="9"/>
      <w:pgMar w:top="720" w:right="1440" w:bottom="360" w:left="1296" w:header="720" w:footer="280" w:gutter="144"/>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2E40" w:rsidRDefault="003A2E40" w:rsidP="00123A9D">
      <w:r>
        <w:separator/>
      </w:r>
    </w:p>
  </w:endnote>
  <w:endnote w:type="continuationSeparator" w:id="0">
    <w:p w:rsidR="003A2E40" w:rsidRDefault="003A2E40" w:rsidP="0012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176469"/>
      <w:docPartObj>
        <w:docPartGallery w:val="Page Numbers (Bottom of Page)"/>
        <w:docPartUnique/>
      </w:docPartObj>
    </w:sdtPr>
    <w:sdtEndPr>
      <w:rPr>
        <w:color w:val="7F7F7F" w:themeColor="background1" w:themeShade="7F"/>
        <w:spacing w:val="60"/>
      </w:rPr>
    </w:sdtEndPr>
    <w:sdtContent>
      <w:p w:rsidR="001960EB" w:rsidRDefault="001960E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248B3" w:rsidRPr="00E017E0" w:rsidRDefault="000248B3" w:rsidP="005758BE">
    <w:pPr>
      <w:pStyle w:val="Footer"/>
      <w:tabs>
        <w:tab w:val="clear" w:pos="4153"/>
        <w:tab w:val="clear" w:pos="8306"/>
        <w:tab w:val="left" w:pos="0"/>
        <w:tab w:val="left" w:pos="3960"/>
      </w:tabs>
      <w:ind w:left="0" w:firstLine="0"/>
      <w:jc w:val="left"/>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57849"/>
      <w:docPartObj>
        <w:docPartGallery w:val="Page Numbers (Bottom of Page)"/>
        <w:docPartUnique/>
      </w:docPartObj>
    </w:sdtPr>
    <w:sdtEndPr>
      <w:rPr>
        <w:color w:val="7F7F7F" w:themeColor="background1" w:themeShade="7F"/>
        <w:spacing w:val="60"/>
      </w:rPr>
    </w:sdtEndPr>
    <w:sdtContent>
      <w:p w:rsidR="001960EB" w:rsidRDefault="001960E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CC2D70" w:rsidRDefault="00CC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2E40" w:rsidRDefault="003A2E40" w:rsidP="00123A9D">
      <w:r>
        <w:separator/>
      </w:r>
    </w:p>
  </w:footnote>
  <w:footnote w:type="continuationSeparator" w:id="0">
    <w:p w:rsidR="003A2E40" w:rsidRDefault="003A2E40" w:rsidP="0012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ECF"/>
    <w:multiLevelType w:val="hybridMultilevel"/>
    <w:tmpl w:val="07E0573A"/>
    <w:lvl w:ilvl="0" w:tplc="A7306624">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624A1"/>
    <w:multiLevelType w:val="hybridMultilevel"/>
    <w:tmpl w:val="FE1AD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EE4A9C"/>
    <w:multiLevelType w:val="hybridMultilevel"/>
    <w:tmpl w:val="F670A976"/>
    <w:lvl w:ilvl="0" w:tplc="E99A60FA">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48457F"/>
    <w:multiLevelType w:val="multilevel"/>
    <w:tmpl w:val="A14EDCE2"/>
    <w:lvl w:ilvl="0">
      <w:start w:val="11"/>
      <w:numFmt w:val="decimal"/>
      <w:lvlText w:val="%1."/>
      <w:lvlJc w:val="left"/>
      <w:pPr>
        <w:ind w:left="360" w:hanging="360"/>
      </w:pPr>
      <w:rPr>
        <w:rFonts w:hint="default"/>
      </w:rPr>
    </w:lvl>
    <w:lvl w:ilvl="1">
      <w:start w:val="1"/>
      <w:numFmt w:val="decimal"/>
      <w:isLgl/>
      <w:lvlText w:val="%1.%2"/>
      <w:lvlJc w:val="left"/>
      <w:pPr>
        <w:ind w:left="55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DB140C"/>
    <w:multiLevelType w:val="hybridMultilevel"/>
    <w:tmpl w:val="A2A2C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54E1C"/>
    <w:multiLevelType w:val="hybridMultilevel"/>
    <w:tmpl w:val="6FB29780"/>
    <w:lvl w:ilvl="0" w:tplc="E99A60FA">
      <w:start w:val="1"/>
      <w:numFmt w:val="lowerRoman"/>
      <w:lvlText w:val="%1)"/>
      <w:lvlJc w:val="left"/>
      <w:pPr>
        <w:ind w:left="153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8D3E57"/>
    <w:multiLevelType w:val="hybridMultilevel"/>
    <w:tmpl w:val="A192F3B8"/>
    <w:lvl w:ilvl="0" w:tplc="E99A60F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502383"/>
    <w:multiLevelType w:val="hybridMultilevel"/>
    <w:tmpl w:val="9A56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10472"/>
    <w:multiLevelType w:val="hybridMultilevel"/>
    <w:tmpl w:val="8D08FD4C"/>
    <w:lvl w:ilvl="0" w:tplc="E99A6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6556"/>
    <w:multiLevelType w:val="hybridMultilevel"/>
    <w:tmpl w:val="BEBCC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D3ED8"/>
    <w:multiLevelType w:val="hybridMultilevel"/>
    <w:tmpl w:val="4CFA8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753CEA"/>
    <w:multiLevelType w:val="hybridMultilevel"/>
    <w:tmpl w:val="1AB60994"/>
    <w:lvl w:ilvl="0" w:tplc="E99A60F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0642"/>
    <w:multiLevelType w:val="hybridMultilevel"/>
    <w:tmpl w:val="449EE982"/>
    <w:lvl w:ilvl="0" w:tplc="B840ED82">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8782F20"/>
    <w:multiLevelType w:val="hybridMultilevel"/>
    <w:tmpl w:val="152A631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B3B299A"/>
    <w:multiLevelType w:val="hybridMultilevel"/>
    <w:tmpl w:val="20DE593A"/>
    <w:lvl w:ilvl="0" w:tplc="386CFC7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21C05"/>
    <w:multiLevelType w:val="multilevel"/>
    <w:tmpl w:val="796CB04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36835030">
    <w:abstractNumId w:val="15"/>
  </w:num>
  <w:num w:numId="2" w16cid:durableId="918517577">
    <w:abstractNumId w:val="0"/>
  </w:num>
  <w:num w:numId="3" w16cid:durableId="733897638">
    <w:abstractNumId w:val="13"/>
  </w:num>
  <w:num w:numId="4" w16cid:durableId="1656566352">
    <w:abstractNumId w:val="12"/>
  </w:num>
  <w:num w:numId="5" w16cid:durableId="1528981101">
    <w:abstractNumId w:val="2"/>
  </w:num>
  <w:num w:numId="6" w16cid:durableId="404763346">
    <w:abstractNumId w:val="11"/>
  </w:num>
  <w:num w:numId="7" w16cid:durableId="1175143905">
    <w:abstractNumId w:val="8"/>
  </w:num>
  <w:num w:numId="8" w16cid:durableId="1663655800">
    <w:abstractNumId w:val="6"/>
  </w:num>
  <w:num w:numId="9" w16cid:durableId="881015289">
    <w:abstractNumId w:val="5"/>
  </w:num>
  <w:num w:numId="10" w16cid:durableId="766998312">
    <w:abstractNumId w:val="3"/>
  </w:num>
  <w:num w:numId="11" w16cid:durableId="1371031119">
    <w:abstractNumId w:val="14"/>
  </w:num>
  <w:num w:numId="12" w16cid:durableId="1725331442">
    <w:abstractNumId w:val="1"/>
  </w:num>
  <w:num w:numId="13" w16cid:durableId="854153095">
    <w:abstractNumId w:val="9"/>
  </w:num>
  <w:num w:numId="14" w16cid:durableId="55134127">
    <w:abstractNumId w:val="4"/>
  </w:num>
  <w:num w:numId="15" w16cid:durableId="683481540">
    <w:abstractNumId w:val="10"/>
  </w:num>
  <w:num w:numId="16" w16cid:durableId="32566967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49"/>
    <w:rsid w:val="00000280"/>
    <w:rsid w:val="00001C59"/>
    <w:rsid w:val="00001CCF"/>
    <w:rsid w:val="00005E35"/>
    <w:rsid w:val="00012CB6"/>
    <w:rsid w:val="00014CE7"/>
    <w:rsid w:val="0001602C"/>
    <w:rsid w:val="0002032E"/>
    <w:rsid w:val="00020DA1"/>
    <w:rsid w:val="000248B3"/>
    <w:rsid w:val="00025559"/>
    <w:rsid w:val="00033A8B"/>
    <w:rsid w:val="0003571E"/>
    <w:rsid w:val="00046646"/>
    <w:rsid w:val="00046EE0"/>
    <w:rsid w:val="000478E3"/>
    <w:rsid w:val="00047DBA"/>
    <w:rsid w:val="000545D5"/>
    <w:rsid w:val="00056675"/>
    <w:rsid w:val="0005676B"/>
    <w:rsid w:val="00056928"/>
    <w:rsid w:val="0006163D"/>
    <w:rsid w:val="0006320C"/>
    <w:rsid w:val="000634E4"/>
    <w:rsid w:val="000634EB"/>
    <w:rsid w:val="0006521F"/>
    <w:rsid w:val="00067DC7"/>
    <w:rsid w:val="00071255"/>
    <w:rsid w:val="000730AB"/>
    <w:rsid w:val="000764C1"/>
    <w:rsid w:val="00077EC8"/>
    <w:rsid w:val="00081A17"/>
    <w:rsid w:val="00082D47"/>
    <w:rsid w:val="00085102"/>
    <w:rsid w:val="000930CA"/>
    <w:rsid w:val="00094100"/>
    <w:rsid w:val="00096A51"/>
    <w:rsid w:val="000A4D15"/>
    <w:rsid w:val="000A55C2"/>
    <w:rsid w:val="000A7449"/>
    <w:rsid w:val="000C052F"/>
    <w:rsid w:val="000C15CA"/>
    <w:rsid w:val="000C1D7F"/>
    <w:rsid w:val="000C3E7B"/>
    <w:rsid w:val="000C4B19"/>
    <w:rsid w:val="000D0F9E"/>
    <w:rsid w:val="000D36A5"/>
    <w:rsid w:val="000D5BE4"/>
    <w:rsid w:val="000E1708"/>
    <w:rsid w:val="000E4E8B"/>
    <w:rsid w:val="000F1999"/>
    <w:rsid w:val="000F7662"/>
    <w:rsid w:val="001024A0"/>
    <w:rsid w:val="0010305A"/>
    <w:rsid w:val="00105554"/>
    <w:rsid w:val="00123A9D"/>
    <w:rsid w:val="00125C48"/>
    <w:rsid w:val="00127741"/>
    <w:rsid w:val="00127DBA"/>
    <w:rsid w:val="00127EDE"/>
    <w:rsid w:val="00132C00"/>
    <w:rsid w:val="00135D7B"/>
    <w:rsid w:val="001370CC"/>
    <w:rsid w:val="0014294B"/>
    <w:rsid w:val="001465D4"/>
    <w:rsid w:val="00151861"/>
    <w:rsid w:val="001577F1"/>
    <w:rsid w:val="00157C06"/>
    <w:rsid w:val="0016070A"/>
    <w:rsid w:val="00165788"/>
    <w:rsid w:val="00172BD6"/>
    <w:rsid w:val="001748BE"/>
    <w:rsid w:val="00174D76"/>
    <w:rsid w:val="00175D87"/>
    <w:rsid w:val="00176CAF"/>
    <w:rsid w:val="0018091F"/>
    <w:rsid w:val="00180A27"/>
    <w:rsid w:val="0018199A"/>
    <w:rsid w:val="00183A1F"/>
    <w:rsid w:val="00185686"/>
    <w:rsid w:val="00187BB4"/>
    <w:rsid w:val="001960EB"/>
    <w:rsid w:val="001961D3"/>
    <w:rsid w:val="001A4726"/>
    <w:rsid w:val="001B0470"/>
    <w:rsid w:val="001B0E98"/>
    <w:rsid w:val="001B131D"/>
    <w:rsid w:val="001B1D35"/>
    <w:rsid w:val="001B4C44"/>
    <w:rsid w:val="001B5C6A"/>
    <w:rsid w:val="001C1251"/>
    <w:rsid w:val="001C36C4"/>
    <w:rsid w:val="001C446A"/>
    <w:rsid w:val="001C50E2"/>
    <w:rsid w:val="001D1AAA"/>
    <w:rsid w:val="001E07A9"/>
    <w:rsid w:val="001E28AE"/>
    <w:rsid w:val="001E2AD6"/>
    <w:rsid w:val="001E3E7C"/>
    <w:rsid w:val="001E71B9"/>
    <w:rsid w:val="001E7635"/>
    <w:rsid w:val="001F215E"/>
    <w:rsid w:val="001F601A"/>
    <w:rsid w:val="001F7492"/>
    <w:rsid w:val="001F7F62"/>
    <w:rsid w:val="0020302E"/>
    <w:rsid w:val="002035F6"/>
    <w:rsid w:val="00205D20"/>
    <w:rsid w:val="00206389"/>
    <w:rsid w:val="00207D16"/>
    <w:rsid w:val="0021591F"/>
    <w:rsid w:val="00220747"/>
    <w:rsid w:val="00231684"/>
    <w:rsid w:val="002328DD"/>
    <w:rsid w:val="00236B19"/>
    <w:rsid w:val="0023731F"/>
    <w:rsid w:val="002463C9"/>
    <w:rsid w:val="00251316"/>
    <w:rsid w:val="00251DEE"/>
    <w:rsid w:val="002542CA"/>
    <w:rsid w:val="0026359C"/>
    <w:rsid w:val="00263D94"/>
    <w:rsid w:val="00264825"/>
    <w:rsid w:val="00266D75"/>
    <w:rsid w:val="002709A4"/>
    <w:rsid w:val="00274E48"/>
    <w:rsid w:val="00283A46"/>
    <w:rsid w:val="00283CE5"/>
    <w:rsid w:val="00286302"/>
    <w:rsid w:val="002871E3"/>
    <w:rsid w:val="00291485"/>
    <w:rsid w:val="00292F43"/>
    <w:rsid w:val="00297E40"/>
    <w:rsid w:val="002A05FE"/>
    <w:rsid w:val="002A1890"/>
    <w:rsid w:val="002A1F6C"/>
    <w:rsid w:val="002A30C8"/>
    <w:rsid w:val="002A3DF2"/>
    <w:rsid w:val="002A59C5"/>
    <w:rsid w:val="002A7B90"/>
    <w:rsid w:val="002B4AA7"/>
    <w:rsid w:val="002C510F"/>
    <w:rsid w:val="002C674C"/>
    <w:rsid w:val="002C6CD9"/>
    <w:rsid w:val="002D227F"/>
    <w:rsid w:val="002D376D"/>
    <w:rsid w:val="002D4A1E"/>
    <w:rsid w:val="002D7065"/>
    <w:rsid w:val="002D75E0"/>
    <w:rsid w:val="002D7608"/>
    <w:rsid w:val="002D797D"/>
    <w:rsid w:val="002E7C89"/>
    <w:rsid w:val="002F0547"/>
    <w:rsid w:val="002F575A"/>
    <w:rsid w:val="00301B7B"/>
    <w:rsid w:val="0030217A"/>
    <w:rsid w:val="00303FFE"/>
    <w:rsid w:val="003059FF"/>
    <w:rsid w:val="003141FA"/>
    <w:rsid w:val="00315AF6"/>
    <w:rsid w:val="0031728C"/>
    <w:rsid w:val="00317AD8"/>
    <w:rsid w:val="00331CF0"/>
    <w:rsid w:val="003357D5"/>
    <w:rsid w:val="003360CE"/>
    <w:rsid w:val="003469F0"/>
    <w:rsid w:val="00346C56"/>
    <w:rsid w:val="0035081C"/>
    <w:rsid w:val="003565AC"/>
    <w:rsid w:val="00356804"/>
    <w:rsid w:val="0035680B"/>
    <w:rsid w:val="00361603"/>
    <w:rsid w:val="0037007F"/>
    <w:rsid w:val="0037154C"/>
    <w:rsid w:val="00373E7B"/>
    <w:rsid w:val="0037500A"/>
    <w:rsid w:val="003825C9"/>
    <w:rsid w:val="00382BA5"/>
    <w:rsid w:val="00387014"/>
    <w:rsid w:val="003918D6"/>
    <w:rsid w:val="0039509B"/>
    <w:rsid w:val="003A0A28"/>
    <w:rsid w:val="003A2E40"/>
    <w:rsid w:val="003A6533"/>
    <w:rsid w:val="003B0B21"/>
    <w:rsid w:val="003B0C2F"/>
    <w:rsid w:val="003B178F"/>
    <w:rsid w:val="003B19B0"/>
    <w:rsid w:val="003B2E3A"/>
    <w:rsid w:val="003B4B56"/>
    <w:rsid w:val="003B629C"/>
    <w:rsid w:val="003C17C8"/>
    <w:rsid w:val="003C6FCA"/>
    <w:rsid w:val="003D194F"/>
    <w:rsid w:val="003D5EA7"/>
    <w:rsid w:val="003D765C"/>
    <w:rsid w:val="003E2D5F"/>
    <w:rsid w:val="003E31D3"/>
    <w:rsid w:val="003E3392"/>
    <w:rsid w:val="003E3688"/>
    <w:rsid w:val="003E54F4"/>
    <w:rsid w:val="003F042B"/>
    <w:rsid w:val="003F0DAA"/>
    <w:rsid w:val="003F5768"/>
    <w:rsid w:val="004004E7"/>
    <w:rsid w:val="00406456"/>
    <w:rsid w:val="00412523"/>
    <w:rsid w:val="00416463"/>
    <w:rsid w:val="00421C8D"/>
    <w:rsid w:val="00423FB5"/>
    <w:rsid w:val="00424FF6"/>
    <w:rsid w:val="00425F62"/>
    <w:rsid w:val="00434AC0"/>
    <w:rsid w:val="0043604A"/>
    <w:rsid w:val="00436414"/>
    <w:rsid w:val="00437AE8"/>
    <w:rsid w:val="00440E12"/>
    <w:rsid w:val="00445DA7"/>
    <w:rsid w:val="00451CC9"/>
    <w:rsid w:val="00455736"/>
    <w:rsid w:val="00460A76"/>
    <w:rsid w:val="0046248F"/>
    <w:rsid w:val="00463039"/>
    <w:rsid w:val="00464005"/>
    <w:rsid w:val="00467B3A"/>
    <w:rsid w:val="00471206"/>
    <w:rsid w:val="00473695"/>
    <w:rsid w:val="00475B60"/>
    <w:rsid w:val="00475FD9"/>
    <w:rsid w:val="004767CC"/>
    <w:rsid w:val="00476ABD"/>
    <w:rsid w:val="00481166"/>
    <w:rsid w:val="0048201C"/>
    <w:rsid w:val="00483E33"/>
    <w:rsid w:val="004851F8"/>
    <w:rsid w:val="0048530E"/>
    <w:rsid w:val="004878E2"/>
    <w:rsid w:val="004962E8"/>
    <w:rsid w:val="004A1EE7"/>
    <w:rsid w:val="004A3A5D"/>
    <w:rsid w:val="004B0EB0"/>
    <w:rsid w:val="004B11D3"/>
    <w:rsid w:val="004B43DC"/>
    <w:rsid w:val="004B60C6"/>
    <w:rsid w:val="004C4C62"/>
    <w:rsid w:val="004C6561"/>
    <w:rsid w:val="004D55E8"/>
    <w:rsid w:val="004D6F42"/>
    <w:rsid w:val="004E170C"/>
    <w:rsid w:val="004E3B84"/>
    <w:rsid w:val="004E5C71"/>
    <w:rsid w:val="004E5CE8"/>
    <w:rsid w:val="004E7F0B"/>
    <w:rsid w:val="004F3DBF"/>
    <w:rsid w:val="004F48AD"/>
    <w:rsid w:val="004F6A53"/>
    <w:rsid w:val="004F7B07"/>
    <w:rsid w:val="00503B50"/>
    <w:rsid w:val="00504639"/>
    <w:rsid w:val="0050700F"/>
    <w:rsid w:val="00517C22"/>
    <w:rsid w:val="00521C9B"/>
    <w:rsid w:val="00533C2A"/>
    <w:rsid w:val="00536177"/>
    <w:rsid w:val="00540A01"/>
    <w:rsid w:val="0054123A"/>
    <w:rsid w:val="00543A3F"/>
    <w:rsid w:val="005468EE"/>
    <w:rsid w:val="00547E68"/>
    <w:rsid w:val="005527B5"/>
    <w:rsid w:val="00553588"/>
    <w:rsid w:val="005535AE"/>
    <w:rsid w:val="00555E24"/>
    <w:rsid w:val="00556EBA"/>
    <w:rsid w:val="00561320"/>
    <w:rsid w:val="00561EA8"/>
    <w:rsid w:val="00563EAE"/>
    <w:rsid w:val="005704E7"/>
    <w:rsid w:val="00570F4E"/>
    <w:rsid w:val="005758BE"/>
    <w:rsid w:val="00576A29"/>
    <w:rsid w:val="00576DC1"/>
    <w:rsid w:val="0058228F"/>
    <w:rsid w:val="00591B33"/>
    <w:rsid w:val="00592083"/>
    <w:rsid w:val="005931E3"/>
    <w:rsid w:val="005943C8"/>
    <w:rsid w:val="005A0718"/>
    <w:rsid w:val="005A1AE1"/>
    <w:rsid w:val="005A2DE2"/>
    <w:rsid w:val="005A6310"/>
    <w:rsid w:val="005A686C"/>
    <w:rsid w:val="005A6E10"/>
    <w:rsid w:val="005A798A"/>
    <w:rsid w:val="005B1ECC"/>
    <w:rsid w:val="005B596D"/>
    <w:rsid w:val="005B5D6C"/>
    <w:rsid w:val="005C4EA7"/>
    <w:rsid w:val="005C7C81"/>
    <w:rsid w:val="005D04B1"/>
    <w:rsid w:val="005D535F"/>
    <w:rsid w:val="005D6E91"/>
    <w:rsid w:val="005E0789"/>
    <w:rsid w:val="005E4401"/>
    <w:rsid w:val="00601E72"/>
    <w:rsid w:val="006036B1"/>
    <w:rsid w:val="00604492"/>
    <w:rsid w:val="006044C6"/>
    <w:rsid w:val="00610BC8"/>
    <w:rsid w:val="00612423"/>
    <w:rsid w:val="006145B7"/>
    <w:rsid w:val="00617FB0"/>
    <w:rsid w:val="00626C05"/>
    <w:rsid w:val="00627860"/>
    <w:rsid w:val="00630B23"/>
    <w:rsid w:val="00630E90"/>
    <w:rsid w:val="0063106D"/>
    <w:rsid w:val="00633B49"/>
    <w:rsid w:val="00634C44"/>
    <w:rsid w:val="00635396"/>
    <w:rsid w:val="0064058A"/>
    <w:rsid w:val="0064143B"/>
    <w:rsid w:val="006441FD"/>
    <w:rsid w:val="00647BE5"/>
    <w:rsid w:val="00660CAF"/>
    <w:rsid w:val="0066222C"/>
    <w:rsid w:val="00662553"/>
    <w:rsid w:val="006652CA"/>
    <w:rsid w:val="00665877"/>
    <w:rsid w:val="0066643B"/>
    <w:rsid w:val="00681116"/>
    <w:rsid w:val="006832C9"/>
    <w:rsid w:val="0068540B"/>
    <w:rsid w:val="00686F66"/>
    <w:rsid w:val="00690911"/>
    <w:rsid w:val="00692685"/>
    <w:rsid w:val="00693540"/>
    <w:rsid w:val="006A1DD8"/>
    <w:rsid w:val="006A6562"/>
    <w:rsid w:val="006A7E82"/>
    <w:rsid w:val="006B0A71"/>
    <w:rsid w:val="006B5FAD"/>
    <w:rsid w:val="006C05C6"/>
    <w:rsid w:val="006C63B5"/>
    <w:rsid w:val="006D205C"/>
    <w:rsid w:val="006D22C4"/>
    <w:rsid w:val="006D4356"/>
    <w:rsid w:val="006D63AC"/>
    <w:rsid w:val="006D7CDC"/>
    <w:rsid w:val="006E3FF0"/>
    <w:rsid w:val="006E6DAC"/>
    <w:rsid w:val="006F0075"/>
    <w:rsid w:val="006F20ED"/>
    <w:rsid w:val="00700065"/>
    <w:rsid w:val="00703160"/>
    <w:rsid w:val="0070590F"/>
    <w:rsid w:val="00705B64"/>
    <w:rsid w:val="00710901"/>
    <w:rsid w:val="00711DC1"/>
    <w:rsid w:val="007123F7"/>
    <w:rsid w:val="00712AAC"/>
    <w:rsid w:val="00720AD8"/>
    <w:rsid w:val="0072266A"/>
    <w:rsid w:val="0073058C"/>
    <w:rsid w:val="00731AE4"/>
    <w:rsid w:val="00733FBC"/>
    <w:rsid w:val="0073405B"/>
    <w:rsid w:val="00734E51"/>
    <w:rsid w:val="00740663"/>
    <w:rsid w:val="007443EC"/>
    <w:rsid w:val="00745695"/>
    <w:rsid w:val="00754241"/>
    <w:rsid w:val="00754499"/>
    <w:rsid w:val="00755220"/>
    <w:rsid w:val="0076034F"/>
    <w:rsid w:val="00760714"/>
    <w:rsid w:val="007630F5"/>
    <w:rsid w:val="00763217"/>
    <w:rsid w:val="007642C8"/>
    <w:rsid w:val="00772917"/>
    <w:rsid w:val="007777B7"/>
    <w:rsid w:val="00783EFA"/>
    <w:rsid w:val="00784792"/>
    <w:rsid w:val="00784ACF"/>
    <w:rsid w:val="00791F3C"/>
    <w:rsid w:val="0079579C"/>
    <w:rsid w:val="00796069"/>
    <w:rsid w:val="00796373"/>
    <w:rsid w:val="007966B7"/>
    <w:rsid w:val="007A247A"/>
    <w:rsid w:val="007A382D"/>
    <w:rsid w:val="007A5964"/>
    <w:rsid w:val="007A5E94"/>
    <w:rsid w:val="007B3762"/>
    <w:rsid w:val="007B6680"/>
    <w:rsid w:val="007B7287"/>
    <w:rsid w:val="007C42C4"/>
    <w:rsid w:val="007C6D68"/>
    <w:rsid w:val="007D1EC4"/>
    <w:rsid w:val="007D23F4"/>
    <w:rsid w:val="007D3B3A"/>
    <w:rsid w:val="007E655D"/>
    <w:rsid w:val="007F6337"/>
    <w:rsid w:val="0080251C"/>
    <w:rsid w:val="00802AAD"/>
    <w:rsid w:val="00806CD6"/>
    <w:rsid w:val="0081129B"/>
    <w:rsid w:val="00815949"/>
    <w:rsid w:val="00817490"/>
    <w:rsid w:val="0081771A"/>
    <w:rsid w:val="008214A1"/>
    <w:rsid w:val="00826718"/>
    <w:rsid w:val="0083030F"/>
    <w:rsid w:val="008406B0"/>
    <w:rsid w:val="00846730"/>
    <w:rsid w:val="00846F13"/>
    <w:rsid w:val="0085082D"/>
    <w:rsid w:val="008524A2"/>
    <w:rsid w:val="00854EE0"/>
    <w:rsid w:val="00857FCB"/>
    <w:rsid w:val="0087103C"/>
    <w:rsid w:val="008718AB"/>
    <w:rsid w:val="0087240E"/>
    <w:rsid w:val="0087622F"/>
    <w:rsid w:val="00877B05"/>
    <w:rsid w:val="00882936"/>
    <w:rsid w:val="0088298F"/>
    <w:rsid w:val="0088454F"/>
    <w:rsid w:val="00894CA9"/>
    <w:rsid w:val="00896F99"/>
    <w:rsid w:val="00897CA8"/>
    <w:rsid w:val="008A26F2"/>
    <w:rsid w:val="008A318B"/>
    <w:rsid w:val="008A4B23"/>
    <w:rsid w:val="008A4D22"/>
    <w:rsid w:val="008A7836"/>
    <w:rsid w:val="008B2EEA"/>
    <w:rsid w:val="008B4E46"/>
    <w:rsid w:val="008C1724"/>
    <w:rsid w:val="008C33CA"/>
    <w:rsid w:val="008D3359"/>
    <w:rsid w:val="008E0B14"/>
    <w:rsid w:val="008E68E3"/>
    <w:rsid w:val="008F23C7"/>
    <w:rsid w:val="008F640F"/>
    <w:rsid w:val="00901CE9"/>
    <w:rsid w:val="00903EEF"/>
    <w:rsid w:val="00904130"/>
    <w:rsid w:val="009070D5"/>
    <w:rsid w:val="009071FD"/>
    <w:rsid w:val="00907429"/>
    <w:rsid w:val="00910588"/>
    <w:rsid w:val="009125EC"/>
    <w:rsid w:val="0091263F"/>
    <w:rsid w:val="009161BF"/>
    <w:rsid w:val="00916FB4"/>
    <w:rsid w:val="00917B4E"/>
    <w:rsid w:val="009225BC"/>
    <w:rsid w:val="0092268E"/>
    <w:rsid w:val="00922D95"/>
    <w:rsid w:val="00931DCB"/>
    <w:rsid w:val="009350E4"/>
    <w:rsid w:val="00937D8B"/>
    <w:rsid w:val="009415BD"/>
    <w:rsid w:val="009441D2"/>
    <w:rsid w:val="0094550D"/>
    <w:rsid w:val="0095685D"/>
    <w:rsid w:val="00961075"/>
    <w:rsid w:val="00961BFA"/>
    <w:rsid w:val="0096302A"/>
    <w:rsid w:val="00964F1F"/>
    <w:rsid w:val="0096584D"/>
    <w:rsid w:val="00967483"/>
    <w:rsid w:val="0096749D"/>
    <w:rsid w:val="00972477"/>
    <w:rsid w:val="00972EBE"/>
    <w:rsid w:val="00973B29"/>
    <w:rsid w:val="00976588"/>
    <w:rsid w:val="0097662D"/>
    <w:rsid w:val="009841C9"/>
    <w:rsid w:val="00987008"/>
    <w:rsid w:val="0098798A"/>
    <w:rsid w:val="00987DA1"/>
    <w:rsid w:val="0099006A"/>
    <w:rsid w:val="00997144"/>
    <w:rsid w:val="009A33AF"/>
    <w:rsid w:val="009A531E"/>
    <w:rsid w:val="009A7596"/>
    <w:rsid w:val="009B1FDA"/>
    <w:rsid w:val="009B21C8"/>
    <w:rsid w:val="009B3C11"/>
    <w:rsid w:val="009B6885"/>
    <w:rsid w:val="009C06F5"/>
    <w:rsid w:val="009C1B10"/>
    <w:rsid w:val="009C2810"/>
    <w:rsid w:val="009C774A"/>
    <w:rsid w:val="009D02C9"/>
    <w:rsid w:val="009D32B5"/>
    <w:rsid w:val="009D669A"/>
    <w:rsid w:val="009D6F21"/>
    <w:rsid w:val="009E0FD2"/>
    <w:rsid w:val="009E221B"/>
    <w:rsid w:val="009E2EFD"/>
    <w:rsid w:val="009E5181"/>
    <w:rsid w:val="009E52BA"/>
    <w:rsid w:val="009E5433"/>
    <w:rsid w:val="009E74FD"/>
    <w:rsid w:val="009F0D33"/>
    <w:rsid w:val="009F2BD3"/>
    <w:rsid w:val="009F3025"/>
    <w:rsid w:val="009F56E2"/>
    <w:rsid w:val="009F5AA0"/>
    <w:rsid w:val="009F6D99"/>
    <w:rsid w:val="009F79C4"/>
    <w:rsid w:val="00A01162"/>
    <w:rsid w:val="00A0299D"/>
    <w:rsid w:val="00A05C7B"/>
    <w:rsid w:val="00A05E71"/>
    <w:rsid w:val="00A10EC3"/>
    <w:rsid w:val="00A12280"/>
    <w:rsid w:val="00A158B5"/>
    <w:rsid w:val="00A170FF"/>
    <w:rsid w:val="00A171E5"/>
    <w:rsid w:val="00A20B25"/>
    <w:rsid w:val="00A21187"/>
    <w:rsid w:val="00A2430E"/>
    <w:rsid w:val="00A3328B"/>
    <w:rsid w:val="00A403B7"/>
    <w:rsid w:val="00A5072A"/>
    <w:rsid w:val="00A52D11"/>
    <w:rsid w:val="00A60DA1"/>
    <w:rsid w:val="00A65F05"/>
    <w:rsid w:val="00A726F2"/>
    <w:rsid w:val="00A73073"/>
    <w:rsid w:val="00A73FB9"/>
    <w:rsid w:val="00A81B80"/>
    <w:rsid w:val="00A837BA"/>
    <w:rsid w:val="00A86B90"/>
    <w:rsid w:val="00A87124"/>
    <w:rsid w:val="00A90BB7"/>
    <w:rsid w:val="00A91660"/>
    <w:rsid w:val="00A92249"/>
    <w:rsid w:val="00A93333"/>
    <w:rsid w:val="00AA1E34"/>
    <w:rsid w:val="00AA3DE2"/>
    <w:rsid w:val="00AB0B78"/>
    <w:rsid w:val="00AB154D"/>
    <w:rsid w:val="00AB2932"/>
    <w:rsid w:val="00AB2A74"/>
    <w:rsid w:val="00AB2FB3"/>
    <w:rsid w:val="00AB3B0D"/>
    <w:rsid w:val="00AB48AA"/>
    <w:rsid w:val="00AB517D"/>
    <w:rsid w:val="00AC02C4"/>
    <w:rsid w:val="00AC128D"/>
    <w:rsid w:val="00AC4B8B"/>
    <w:rsid w:val="00AC5648"/>
    <w:rsid w:val="00AC5BC9"/>
    <w:rsid w:val="00AD091A"/>
    <w:rsid w:val="00AD423C"/>
    <w:rsid w:val="00AD51BD"/>
    <w:rsid w:val="00AD5EFD"/>
    <w:rsid w:val="00AE49FB"/>
    <w:rsid w:val="00AE4CA9"/>
    <w:rsid w:val="00AF4513"/>
    <w:rsid w:val="00AF4F4E"/>
    <w:rsid w:val="00B038F3"/>
    <w:rsid w:val="00B05381"/>
    <w:rsid w:val="00B06D97"/>
    <w:rsid w:val="00B120D2"/>
    <w:rsid w:val="00B1547F"/>
    <w:rsid w:val="00B20767"/>
    <w:rsid w:val="00B211BA"/>
    <w:rsid w:val="00B26AA2"/>
    <w:rsid w:val="00B30099"/>
    <w:rsid w:val="00B30813"/>
    <w:rsid w:val="00B3189E"/>
    <w:rsid w:val="00B32CB6"/>
    <w:rsid w:val="00B33DA1"/>
    <w:rsid w:val="00B40591"/>
    <w:rsid w:val="00B41935"/>
    <w:rsid w:val="00B4280E"/>
    <w:rsid w:val="00B45DBA"/>
    <w:rsid w:val="00B45DD4"/>
    <w:rsid w:val="00B46C13"/>
    <w:rsid w:val="00B51B8B"/>
    <w:rsid w:val="00B525C2"/>
    <w:rsid w:val="00B54726"/>
    <w:rsid w:val="00B55B41"/>
    <w:rsid w:val="00B56F39"/>
    <w:rsid w:val="00B6241A"/>
    <w:rsid w:val="00B640BC"/>
    <w:rsid w:val="00B65B3C"/>
    <w:rsid w:val="00B75AD5"/>
    <w:rsid w:val="00B76152"/>
    <w:rsid w:val="00B83AA1"/>
    <w:rsid w:val="00B873C9"/>
    <w:rsid w:val="00B8757D"/>
    <w:rsid w:val="00B90BD2"/>
    <w:rsid w:val="00B9239D"/>
    <w:rsid w:val="00B95E2D"/>
    <w:rsid w:val="00BA050E"/>
    <w:rsid w:val="00BA6EAE"/>
    <w:rsid w:val="00BB27C1"/>
    <w:rsid w:val="00BB456F"/>
    <w:rsid w:val="00BB589B"/>
    <w:rsid w:val="00BB7167"/>
    <w:rsid w:val="00BC4698"/>
    <w:rsid w:val="00BC52A2"/>
    <w:rsid w:val="00BC5788"/>
    <w:rsid w:val="00BD5BEE"/>
    <w:rsid w:val="00BD6B34"/>
    <w:rsid w:val="00BE1138"/>
    <w:rsid w:val="00BE3317"/>
    <w:rsid w:val="00BE5987"/>
    <w:rsid w:val="00BF4CD8"/>
    <w:rsid w:val="00BF628E"/>
    <w:rsid w:val="00BF7100"/>
    <w:rsid w:val="00BF7A71"/>
    <w:rsid w:val="00C0043D"/>
    <w:rsid w:val="00C00DC4"/>
    <w:rsid w:val="00C03E7A"/>
    <w:rsid w:val="00C05E52"/>
    <w:rsid w:val="00C10832"/>
    <w:rsid w:val="00C10B24"/>
    <w:rsid w:val="00C262C6"/>
    <w:rsid w:val="00C2726A"/>
    <w:rsid w:val="00C27303"/>
    <w:rsid w:val="00C3016C"/>
    <w:rsid w:val="00C30C19"/>
    <w:rsid w:val="00C31EDB"/>
    <w:rsid w:val="00C32CF9"/>
    <w:rsid w:val="00C40AB9"/>
    <w:rsid w:val="00C417F1"/>
    <w:rsid w:val="00C42814"/>
    <w:rsid w:val="00C42F0C"/>
    <w:rsid w:val="00C4329B"/>
    <w:rsid w:val="00C43CED"/>
    <w:rsid w:val="00C46D33"/>
    <w:rsid w:val="00C50969"/>
    <w:rsid w:val="00C51B63"/>
    <w:rsid w:val="00C56DF4"/>
    <w:rsid w:val="00C60C3D"/>
    <w:rsid w:val="00C62CCC"/>
    <w:rsid w:val="00C649B1"/>
    <w:rsid w:val="00C67577"/>
    <w:rsid w:val="00C721DC"/>
    <w:rsid w:val="00C72680"/>
    <w:rsid w:val="00C74C77"/>
    <w:rsid w:val="00C7543B"/>
    <w:rsid w:val="00C76447"/>
    <w:rsid w:val="00C7664D"/>
    <w:rsid w:val="00C82A2E"/>
    <w:rsid w:val="00C839DD"/>
    <w:rsid w:val="00C90B98"/>
    <w:rsid w:val="00C90E57"/>
    <w:rsid w:val="00C90F65"/>
    <w:rsid w:val="00C92FEB"/>
    <w:rsid w:val="00C94FC2"/>
    <w:rsid w:val="00C96816"/>
    <w:rsid w:val="00C97CD0"/>
    <w:rsid w:val="00CA4160"/>
    <w:rsid w:val="00CA679F"/>
    <w:rsid w:val="00CB006B"/>
    <w:rsid w:val="00CB39E1"/>
    <w:rsid w:val="00CB6E77"/>
    <w:rsid w:val="00CB7D0E"/>
    <w:rsid w:val="00CC09AB"/>
    <w:rsid w:val="00CC2782"/>
    <w:rsid w:val="00CC2936"/>
    <w:rsid w:val="00CC2D70"/>
    <w:rsid w:val="00CC4C5D"/>
    <w:rsid w:val="00CC4E81"/>
    <w:rsid w:val="00CC71F4"/>
    <w:rsid w:val="00CD07C1"/>
    <w:rsid w:val="00CD1138"/>
    <w:rsid w:val="00CD4DC5"/>
    <w:rsid w:val="00CE4E67"/>
    <w:rsid w:val="00CE557F"/>
    <w:rsid w:val="00CE784D"/>
    <w:rsid w:val="00CF1B57"/>
    <w:rsid w:val="00CF1FF4"/>
    <w:rsid w:val="00CF27CC"/>
    <w:rsid w:val="00CF71BE"/>
    <w:rsid w:val="00D01519"/>
    <w:rsid w:val="00D02BBC"/>
    <w:rsid w:val="00D03F0F"/>
    <w:rsid w:val="00D04A0D"/>
    <w:rsid w:val="00D05BF8"/>
    <w:rsid w:val="00D1031A"/>
    <w:rsid w:val="00D104E3"/>
    <w:rsid w:val="00D14549"/>
    <w:rsid w:val="00D21E5D"/>
    <w:rsid w:val="00D237E8"/>
    <w:rsid w:val="00D24EA5"/>
    <w:rsid w:val="00D2676B"/>
    <w:rsid w:val="00D27925"/>
    <w:rsid w:val="00D31B32"/>
    <w:rsid w:val="00D35CEC"/>
    <w:rsid w:val="00D40A06"/>
    <w:rsid w:val="00D47061"/>
    <w:rsid w:val="00D513FB"/>
    <w:rsid w:val="00D56E2E"/>
    <w:rsid w:val="00D62E49"/>
    <w:rsid w:val="00D63F41"/>
    <w:rsid w:val="00D70738"/>
    <w:rsid w:val="00D70C92"/>
    <w:rsid w:val="00D710BE"/>
    <w:rsid w:val="00D722B1"/>
    <w:rsid w:val="00D72754"/>
    <w:rsid w:val="00D810BE"/>
    <w:rsid w:val="00D85965"/>
    <w:rsid w:val="00D8642E"/>
    <w:rsid w:val="00D87874"/>
    <w:rsid w:val="00D87D7F"/>
    <w:rsid w:val="00D90D11"/>
    <w:rsid w:val="00D91506"/>
    <w:rsid w:val="00D92CA9"/>
    <w:rsid w:val="00D95320"/>
    <w:rsid w:val="00DA299E"/>
    <w:rsid w:val="00DA4561"/>
    <w:rsid w:val="00DA47A7"/>
    <w:rsid w:val="00DB1D6B"/>
    <w:rsid w:val="00DB28F5"/>
    <w:rsid w:val="00DB42C7"/>
    <w:rsid w:val="00DB4753"/>
    <w:rsid w:val="00DB6D62"/>
    <w:rsid w:val="00DB73D7"/>
    <w:rsid w:val="00DC0AC8"/>
    <w:rsid w:val="00DC5289"/>
    <w:rsid w:val="00DC6333"/>
    <w:rsid w:val="00DC67E0"/>
    <w:rsid w:val="00DC7CAC"/>
    <w:rsid w:val="00DC7E22"/>
    <w:rsid w:val="00DC7F4D"/>
    <w:rsid w:val="00DD1F66"/>
    <w:rsid w:val="00DE130B"/>
    <w:rsid w:val="00DE1EF7"/>
    <w:rsid w:val="00DF2F87"/>
    <w:rsid w:val="00DF4005"/>
    <w:rsid w:val="00DF46F2"/>
    <w:rsid w:val="00DF5D31"/>
    <w:rsid w:val="00DF7893"/>
    <w:rsid w:val="00E017E0"/>
    <w:rsid w:val="00E041A9"/>
    <w:rsid w:val="00E07D71"/>
    <w:rsid w:val="00E10D61"/>
    <w:rsid w:val="00E13419"/>
    <w:rsid w:val="00E16069"/>
    <w:rsid w:val="00E26952"/>
    <w:rsid w:val="00E31E43"/>
    <w:rsid w:val="00E33461"/>
    <w:rsid w:val="00E35493"/>
    <w:rsid w:val="00E41413"/>
    <w:rsid w:val="00E437BC"/>
    <w:rsid w:val="00E4503D"/>
    <w:rsid w:val="00E46F00"/>
    <w:rsid w:val="00E52D00"/>
    <w:rsid w:val="00E53EDB"/>
    <w:rsid w:val="00E54817"/>
    <w:rsid w:val="00E60407"/>
    <w:rsid w:val="00E609E8"/>
    <w:rsid w:val="00E61AD2"/>
    <w:rsid w:val="00E63618"/>
    <w:rsid w:val="00E6537C"/>
    <w:rsid w:val="00E7125F"/>
    <w:rsid w:val="00E833C4"/>
    <w:rsid w:val="00E84CAE"/>
    <w:rsid w:val="00E87DBB"/>
    <w:rsid w:val="00E9332D"/>
    <w:rsid w:val="00E937CB"/>
    <w:rsid w:val="00E93D83"/>
    <w:rsid w:val="00E9745C"/>
    <w:rsid w:val="00EA0DB5"/>
    <w:rsid w:val="00EA2B89"/>
    <w:rsid w:val="00EA5731"/>
    <w:rsid w:val="00EB35F1"/>
    <w:rsid w:val="00EC1B79"/>
    <w:rsid w:val="00EC1F82"/>
    <w:rsid w:val="00EC3526"/>
    <w:rsid w:val="00EC6B65"/>
    <w:rsid w:val="00EC7B53"/>
    <w:rsid w:val="00ED4846"/>
    <w:rsid w:val="00ED5C09"/>
    <w:rsid w:val="00EE28AB"/>
    <w:rsid w:val="00EE33B3"/>
    <w:rsid w:val="00EE773E"/>
    <w:rsid w:val="00EF115D"/>
    <w:rsid w:val="00EF5A60"/>
    <w:rsid w:val="00F007B1"/>
    <w:rsid w:val="00F02185"/>
    <w:rsid w:val="00F0643C"/>
    <w:rsid w:val="00F06B8D"/>
    <w:rsid w:val="00F11379"/>
    <w:rsid w:val="00F175C4"/>
    <w:rsid w:val="00F2250C"/>
    <w:rsid w:val="00F233BC"/>
    <w:rsid w:val="00F2342E"/>
    <w:rsid w:val="00F2534C"/>
    <w:rsid w:val="00F26783"/>
    <w:rsid w:val="00F278A3"/>
    <w:rsid w:val="00F3231F"/>
    <w:rsid w:val="00F32825"/>
    <w:rsid w:val="00F417BB"/>
    <w:rsid w:val="00F444C0"/>
    <w:rsid w:val="00F472E3"/>
    <w:rsid w:val="00F5208E"/>
    <w:rsid w:val="00F6253C"/>
    <w:rsid w:val="00F64412"/>
    <w:rsid w:val="00F64570"/>
    <w:rsid w:val="00F65A49"/>
    <w:rsid w:val="00F65A92"/>
    <w:rsid w:val="00F65F53"/>
    <w:rsid w:val="00F66B61"/>
    <w:rsid w:val="00F66CD5"/>
    <w:rsid w:val="00F67AF8"/>
    <w:rsid w:val="00F71607"/>
    <w:rsid w:val="00F71841"/>
    <w:rsid w:val="00F83430"/>
    <w:rsid w:val="00F84206"/>
    <w:rsid w:val="00F8465D"/>
    <w:rsid w:val="00F8473E"/>
    <w:rsid w:val="00F87A0E"/>
    <w:rsid w:val="00F916F5"/>
    <w:rsid w:val="00F928DA"/>
    <w:rsid w:val="00F9681A"/>
    <w:rsid w:val="00FA06BE"/>
    <w:rsid w:val="00FA26F2"/>
    <w:rsid w:val="00FA4DB8"/>
    <w:rsid w:val="00FC0858"/>
    <w:rsid w:val="00FC0B5E"/>
    <w:rsid w:val="00FC420D"/>
    <w:rsid w:val="00FC4A63"/>
    <w:rsid w:val="00FD34F3"/>
    <w:rsid w:val="00FD36C7"/>
    <w:rsid w:val="00FD754A"/>
    <w:rsid w:val="00FE2655"/>
    <w:rsid w:val="00FE56E9"/>
    <w:rsid w:val="00FE624C"/>
    <w:rsid w:val="00FF5B9A"/>
    <w:rsid w:val="00FF5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43E0E"/>
  <w15:docId w15:val="{0A9D123A-8A08-4333-9E9F-69E2A47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AC8"/>
    <w:pPr>
      <w:ind w:left="1440" w:hanging="720"/>
      <w:jc w:val="both"/>
    </w:pPr>
    <w:rPr>
      <w:rFonts w:ascii="Arial" w:hAnsi="Arial" w:cs="Arial"/>
    </w:rPr>
  </w:style>
  <w:style w:type="paragraph" w:styleId="Heading1">
    <w:name w:val="heading 1"/>
    <w:basedOn w:val="Normal"/>
    <w:next w:val="Normal"/>
    <w:qFormat/>
    <w:rsid w:val="00922D95"/>
    <w:pPr>
      <w:keepNext/>
      <w:spacing w:before="240" w:after="240"/>
      <w:ind w:left="0" w:firstLine="0"/>
      <w:outlineLvl w:val="0"/>
    </w:pPr>
    <w:rPr>
      <w:b/>
      <w:smallCaps/>
      <w:color w:val="F8F8F8"/>
      <w:sz w:val="2"/>
    </w:rPr>
  </w:style>
  <w:style w:type="paragraph" w:styleId="Heading2">
    <w:name w:val="heading 2"/>
    <w:basedOn w:val="Normal"/>
    <w:next w:val="Normal"/>
    <w:link w:val="Heading2Char"/>
    <w:qFormat/>
    <w:rsid w:val="00922D95"/>
    <w:pPr>
      <w:keepNext/>
      <w:ind w:left="0" w:firstLine="0"/>
      <w:jc w:val="center"/>
      <w:outlineLvl w:val="1"/>
    </w:pPr>
    <w:rPr>
      <w:b/>
      <w:lang w:val="en-US"/>
    </w:rPr>
  </w:style>
  <w:style w:type="paragraph" w:styleId="Heading3">
    <w:name w:val="heading 3"/>
    <w:basedOn w:val="Normal"/>
    <w:next w:val="Normal"/>
    <w:link w:val="Heading3Char"/>
    <w:qFormat/>
    <w:rsid w:val="00922D95"/>
    <w:pPr>
      <w:keepNext/>
      <w:ind w:left="0" w:firstLine="0"/>
      <w:outlineLvl w:val="2"/>
    </w:pPr>
    <w:rPr>
      <w:b/>
    </w:rPr>
  </w:style>
  <w:style w:type="paragraph" w:styleId="Heading4">
    <w:name w:val="heading 4"/>
    <w:basedOn w:val="Normal"/>
    <w:next w:val="Normal"/>
    <w:qFormat/>
    <w:rsid w:val="00922D95"/>
    <w:pPr>
      <w:keepNext/>
      <w:ind w:left="0" w:firstLine="0"/>
      <w:jc w:val="center"/>
      <w:outlineLvl w:val="3"/>
    </w:pPr>
    <w:rPr>
      <w:b/>
      <w:color w:val="000000"/>
    </w:rPr>
  </w:style>
  <w:style w:type="paragraph" w:styleId="Heading5">
    <w:name w:val="heading 5"/>
    <w:basedOn w:val="Normal"/>
    <w:next w:val="Normal"/>
    <w:qFormat/>
    <w:rsid w:val="00922D95"/>
    <w:pPr>
      <w:keepNext/>
      <w:ind w:left="0" w:firstLine="0"/>
      <w:jc w:val="center"/>
      <w:outlineLvl w:val="4"/>
    </w:pPr>
    <w:rPr>
      <w:b/>
      <w:color w:val="000000"/>
    </w:rPr>
  </w:style>
  <w:style w:type="paragraph" w:styleId="Heading6">
    <w:name w:val="heading 6"/>
    <w:basedOn w:val="Normal"/>
    <w:next w:val="Normal"/>
    <w:qFormat/>
    <w:rsid w:val="00922D95"/>
    <w:pPr>
      <w:keepNext/>
      <w:ind w:left="0" w:firstLine="0"/>
      <w:jc w:val="center"/>
      <w:outlineLvl w:val="5"/>
    </w:pPr>
    <w:rPr>
      <w:b/>
    </w:rPr>
  </w:style>
  <w:style w:type="paragraph" w:styleId="Heading7">
    <w:name w:val="heading 7"/>
    <w:basedOn w:val="Normal"/>
    <w:next w:val="Normal"/>
    <w:qFormat/>
    <w:rsid w:val="00922D95"/>
    <w:pPr>
      <w:keepNext/>
      <w:tabs>
        <w:tab w:val="left" w:pos="697"/>
        <w:tab w:val="left" w:pos="1417"/>
        <w:tab w:val="left" w:pos="1776"/>
        <w:tab w:val="left" w:pos="2857"/>
        <w:tab w:val="left" w:pos="3577"/>
        <w:tab w:val="left" w:pos="4297"/>
        <w:tab w:val="left" w:pos="5017"/>
        <w:tab w:val="left" w:pos="5737"/>
      </w:tabs>
      <w:suppressAutoHyphens/>
      <w:spacing w:after="40"/>
      <w:ind w:left="0" w:firstLine="0"/>
      <w:outlineLvl w:val="6"/>
    </w:pPr>
    <w:rPr>
      <w:b/>
      <w:bCs/>
      <w:spacing w:val="-3"/>
    </w:rPr>
  </w:style>
  <w:style w:type="paragraph" w:styleId="Heading8">
    <w:name w:val="heading 8"/>
    <w:basedOn w:val="Normal"/>
    <w:next w:val="Normal"/>
    <w:qFormat/>
    <w:rsid w:val="00922D95"/>
    <w:pPr>
      <w:keepNext/>
      <w:tabs>
        <w:tab w:val="left" w:pos="-720"/>
      </w:tabs>
      <w:suppressAutoHyphens/>
      <w:ind w:left="0" w:firstLine="0"/>
      <w:outlineLvl w:val="7"/>
    </w:pPr>
    <w:rPr>
      <w:b/>
      <w:bCs/>
      <w:spacing w:val="-3"/>
    </w:rPr>
  </w:style>
  <w:style w:type="paragraph" w:styleId="Heading9">
    <w:name w:val="heading 9"/>
    <w:basedOn w:val="Normal"/>
    <w:next w:val="Normal"/>
    <w:qFormat/>
    <w:rsid w:val="00922D95"/>
    <w:pPr>
      <w:keepNext/>
      <w:ind w:left="0" w:firstLine="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22D95"/>
    <w:pPr>
      <w:tabs>
        <w:tab w:val="left" w:pos="-720"/>
      </w:tabs>
      <w:suppressAutoHyphens/>
      <w:ind w:left="792" w:hanging="24"/>
    </w:pPr>
    <w:rPr>
      <w:spacing w:val="-3"/>
    </w:rPr>
  </w:style>
  <w:style w:type="paragraph" w:styleId="BodyText">
    <w:name w:val="Body Text"/>
    <w:basedOn w:val="Normal"/>
    <w:rsid w:val="00922D95"/>
    <w:pPr>
      <w:tabs>
        <w:tab w:val="left" w:pos="-720"/>
      </w:tabs>
      <w:suppressAutoHyphens/>
      <w:spacing w:after="60"/>
    </w:pPr>
    <w:rPr>
      <w:spacing w:val="-3"/>
    </w:rPr>
  </w:style>
  <w:style w:type="paragraph" w:styleId="BodyTextIndent2">
    <w:name w:val="Body Text Indent 2"/>
    <w:basedOn w:val="Normal"/>
    <w:rsid w:val="00922D95"/>
    <w:pPr>
      <w:ind w:left="720"/>
    </w:pPr>
  </w:style>
  <w:style w:type="paragraph" w:styleId="BodyTextIndent3">
    <w:name w:val="Body Text Indent 3"/>
    <w:basedOn w:val="Normal"/>
    <w:link w:val="BodyTextIndent3Char"/>
    <w:rsid w:val="00922D95"/>
    <w:pPr>
      <w:ind w:left="720"/>
    </w:pPr>
  </w:style>
  <w:style w:type="paragraph" w:styleId="Header">
    <w:name w:val="header"/>
    <w:basedOn w:val="Normal"/>
    <w:link w:val="HeaderChar"/>
    <w:uiPriority w:val="99"/>
    <w:rsid w:val="00922D95"/>
    <w:pPr>
      <w:tabs>
        <w:tab w:val="center" w:pos="4320"/>
        <w:tab w:val="right" w:pos="8640"/>
      </w:tabs>
    </w:pPr>
    <w:rPr>
      <w:rFonts w:cs="Times New Roman"/>
    </w:rPr>
  </w:style>
  <w:style w:type="paragraph" w:styleId="Footer">
    <w:name w:val="footer"/>
    <w:basedOn w:val="Normal"/>
    <w:link w:val="FooterChar"/>
    <w:uiPriority w:val="99"/>
    <w:rsid w:val="00922D95"/>
    <w:pPr>
      <w:tabs>
        <w:tab w:val="center" w:pos="4153"/>
        <w:tab w:val="right" w:pos="8306"/>
      </w:tabs>
    </w:pPr>
    <w:rPr>
      <w:rFonts w:cs="Times New Roman"/>
    </w:rPr>
  </w:style>
  <w:style w:type="paragraph" w:styleId="BodyText2">
    <w:name w:val="Body Text 2"/>
    <w:basedOn w:val="Normal"/>
    <w:rsid w:val="00922D95"/>
  </w:style>
  <w:style w:type="paragraph" w:styleId="BodyText3">
    <w:name w:val="Body Text 3"/>
    <w:basedOn w:val="Normal"/>
    <w:rsid w:val="00922D95"/>
    <w:pPr>
      <w:pBdr>
        <w:top w:val="single" w:sz="4" w:space="1" w:color="auto"/>
        <w:bottom w:val="single" w:sz="4" w:space="1" w:color="auto"/>
      </w:pBdr>
    </w:pPr>
  </w:style>
  <w:style w:type="paragraph" w:styleId="NormalWeb">
    <w:name w:val="Normal (Web)"/>
    <w:basedOn w:val="Normal"/>
    <w:rsid w:val="00922D95"/>
    <w:pPr>
      <w:spacing w:before="100" w:after="100"/>
    </w:pPr>
    <w:rPr>
      <w:color w:val="FFFF00"/>
    </w:rPr>
  </w:style>
  <w:style w:type="character" w:styleId="PageNumber">
    <w:name w:val="page number"/>
    <w:basedOn w:val="DefaultParagraphFont"/>
    <w:rsid w:val="00922D95"/>
  </w:style>
  <w:style w:type="paragraph" w:styleId="TOC1">
    <w:name w:val="toc 1"/>
    <w:basedOn w:val="Normal"/>
    <w:next w:val="Normal"/>
    <w:autoRedefine/>
    <w:uiPriority w:val="39"/>
    <w:rsid w:val="00922D95"/>
    <w:pPr>
      <w:spacing w:before="360"/>
    </w:pPr>
    <w:rPr>
      <w:b/>
      <w:bCs/>
      <w:caps/>
      <w:szCs w:val="28"/>
    </w:rPr>
  </w:style>
  <w:style w:type="paragraph" w:styleId="TOC2">
    <w:name w:val="toc 2"/>
    <w:basedOn w:val="Normal"/>
    <w:next w:val="Normal"/>
    <w:autoRedefine/>
    <w:uiPriority w:val="39"/>
    <w:rsid w:val="00922D95"/>
    <w:pPr>
      <w:spacing w:before="240"/>
    </w:pPr>
    <w:rPr>
      <w:b/>
      <w:bCs/>
    </w:rPr>
  </w:style>
  <w:style w:type="paragraph" w:styleId="TOC3">
    <w:name w:val="toc 3"/>
    <w:basedOn w:val="Normal"/>
    <w:next w:val="Normal"/>
    <w:autoRedefine/>
    <w:uiPriority w:val="39"/>
    <w:rsid w:val="00922D95"/>
    <w:pPr>
      <w:ind w:left="240"/>
    </w:pPr>
  </w:style>
  <w:style w:type="paragraph" w:styleId="TOC4">
    <w:name w:val="toc 4"/>
    <w:basedOn w:val="Normal"/>
    <w:next w:val="Normal"/>
    <w:autoRedefine/>
    <w:uiPriority w:val="39"/>
    <w:rsid w:val="00922D95"/>
    <w:pPr>
      <w:ind w:left="480"/>
    </w:pPr>
  </w:style>
  <w:style w:type="paragraph" w:styleId="TOC5">
    <w:name w:val="toc 5"/>
    <w:basedOn w:val="Normal"/>
    <w:next w:val="Normal"/>
    <w:autoRedefine/>
    <w:uiPriority w:val="39"/>
    <w:rsid w:val="00922D95"/>
    <w:pPr>
      <w:ind w:left="720"/>
    </w:pPr>
  </w:style>
  <w:style w:type="paragraph" w:styleId="TOC6">
    <w:name w:val="toc 6"/>
    <w:basedOn w:val="Normal"/>
    <w:next w:val="Normal"/>
    <w:autoRedefine/>
    <w:uiPriority w:val="39"/>
    <w:rsid w:val="00922D95"/>
    <w:pPr>
      <w:ind w:left="960"/>
    </w:pPr>
  </w:style>
  <w:style w:type="paragraph" w:styleId="TOC7">
    <w:name w:val="toc 7"/>
    <w:basedOn w:val="Normal"/>
    <w:next w:val="Normal"/>
    <w:autoRedefine/>
    <w:uiPriority w:val="39"/>
    <w:rsid w:val="00922D95"/>
    <w:pPr>
      <w:ind w:left="1200"/>
    </w:pPr>
  </w:style>
  <w:style w:type="paragraph" w:styleId="TOC8">
    <w:name w:val="toc 8"/>
    <w:basedOn w:val="Normal"/>
    <w:next w:val="Normal"/>
    <w:autoRedefine/>
    <w:uiPriority w:val="39"/>
    <w:rsid w:val="00922D95"/>
  </w:style>
  <w:style w:type="paragraph" w:styleId="TOC9">
    <w:name w:val="toc 9"/>
    <w:basedOn w:val="Normal"/>
    <w:next w:val="Normal"/>
    <w:autoRedefine/>
    <w:uiPriority w:val="39"/>
    <w:rsid w:val="00922D95"/>
    <w:pPr>
      <w:ind w:left="1680"/>
    </w:pPr>
  </w:style>
  <w:style w:type="character" w:styleId="Hyperlink">
    <w:name w:val="Hyperlink"/>
    <w:uiPriority w:val="99"/>
    <w:rsid w:val="00922D95"/>
    <w:rPr>
      <w:color w:val="0000FF"/>
      <w:u w:val="single"/>
    </w:rPr>
  </w:style>
  <w:style w:type="character" w:styleId="FollowedHyperlink">
    <w:name w:val="FollowedHyperlink"/>
    <w:rsid w:val="00922D95"/>
    <w:rPr>
      <w:color w:val="800080"/>
      <w:u w:val="single"/>
    </w:rPr>
  </w:style>
  <w:style w:type="paragraph" w:styleId="Title">
    <w:name w:val="Title"/>
    <w:basedOn w:val="Normal"/>
    <w:qFormat/>
    <w:rsid w:val="00922D95"/>
    <w:pPr>
      <w:jc w:val="center"/>
    </w:pPr>
    <w:rPr>
      <w:rFonts w:ascii="Tahoma" w:hAnsi="Tahoma" w:cs="Tahoma"/>
      <w:b/>
      <w:bCs/>
      <w:sz w:val="22"/>
    </w:rPr>
  </w:style>
  <w:style w:type="table" w:styleId="TableGrid">
    <w:name w:val="Table Grid"/>
    <w:basedOn w:val="TableNormal"/>
    <w:rsid w:val="007A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782"/>
    <w:pPr>
      <w:ind w:left="720"/>
    </w:pPr>
  </w:style>
  <w:style w:type="paragraph" w:styleId="BalloonText">
    <w:name w:val="Balloon Text"/>
    <w:basedOn w:val="Normal"/>
    <w:link w:val="BalloonTextChar"/>
    <w:rsid w:val="00BB27C1"/>
    <w:rPr>
      <w:rFonts w:ascii="Tahoma" w:hAnsi="Tahoma" w:cs="Times New Roman"/>
      <w:sz w:val="16"/>
      <w:szCs w:val="16"/>
    </w:rPr>
  </w:style>
  <w:style w:type="character" w:customStyle="1" w:styleId="BalloonTextChar">
    <w:name w:val="Balloon Text Char"/>
    <w:link w:val="BalloonText"/>
    <w:rsid w:val="00BB27C1"/>
    <w:rPr>
      <w:rFonts w:ascii="Tahoma" w:hAnsi="Tahoma" w:cs="Tahoma"/>
      <w:sz w:val="16"/>
      <w:szCs w:val="16"/>
      <w:lang w:val="en-GB"/>
    </w:rPr>
  </w:style>
  <w:style w:type="character" w:customStyle="1" w:styleId="FooterChar">
    <w:name w:val="Footer Char"/>
    <w:link w:val="Footer"/>
    <w:uiPriority w:val="99"/>
    <w:rsid w:val="00BB27C1"/>
    <w:rPr>
      <w:rFonts w:ascii="Arial" w:hAnsi="Arial" w:cs="Arial"/>
      <w:lang w:val="en-GB"/>
    </w:rPr>
  </w:style>
  <w:style w:type="character" w:customStyle="1" w:styleId="HeaderChar">
    <w:name w:val="Header Char"/>
    <w:link w:val="Header"/>
    <w:uiPriority w:val="99"/>
    <w:rsid w:val="00445DA7"/>
    <w:rPr>
      <w:rFonts w:ascii="Arial" w:hAnsi="Arial" w:cs="Arial"/>
      <w:lang w:val="en-GB"/>
    </w:rPr>
  </w:style>
  <w:style w:type="paragraph" w:styleId="NoSpacing">
    <w:name w:val="No Spacing"/>
    <w:link w:val="NoSpacingChar"/>
    <w:uiPriority w:val="1"/>
    <w:qFormat/>
    <w:rsid w:val="0063106D"/>
    <w:rPr>
      <w:rFonts w:ascii="Calibri" w:hAnsi="Calibri" w:cs="Arial"/>
      <w:sz w:val="22"/>
      <w:szCs w:val="22"/>
      <w:lang w:val="en-US"/>
    </w:rPr>
  </w:style>
  <w:style w:type="character" w:customStyle="1" w:styleId="NoSpacingChar">
    <w:name w:val="No Spacing Char"/>
    <w:link w:val="NoSpacing"/>
    <w:uiPriority w:val="1"/>
    <w:rsid w:val="0063106D"/>
    <w:rPr>
      <w:rFonts w:ascii="Calibri" w:hAnsi="Calibri" w:cs="Arial"/>
      <w:sz w:val="22"/>
      <w:szCs w:val="22"/>
      <w:lang w:val="en-US" w:eastAsia="en-US" w:bidi="ar-SA"/>
    </w:rPr>
  </w:style>
  <w:style w:type="table" w:styleId="TableClassic1">
    <w:name w:val="Table Classic 1"/>
    <w:basedOn w:val="TableNormal"/>
    <w:rsid w:val="00AC128D"/>
    <w:pPr>
      <w:ind w:left="1440" w:hanging="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A60DA1"/>
    <w:rPr>
      <w:rFonts w:ascii="Tahoma" w:hAnsi="Tahoma" w:cs="Times New Roman"/>
      <w:sz w:val="16"/>
      <w:szCs w:val="16"/>
    </w:rPr>
  </w:style>
  <w:style w:type="character" w:customStyle="1" w:styleId="DocumentMapChar">
    <w:name w:val="Document Map Char"/>
    <w:link w:val="DocumentMap"/>
    <w:rsid w:val="00A60DA1"/>
    <w:rPr>
      <w:rFonts w:ascii="Tahoma" w:hAnsi="Tahoma" w:cs="Tahoma"/>
      <w:sz w:val="16"/>
      <w:szCs w:val="16"/>
      <w:lang w:val="en-GB"/>
    </w:rPr>
  </w:style>
  <w:style w:type="character" w:styleId="IntenseEmphasis">
    <w:name w:val="Intense Emphasis"/>
    <w:uiPriority w:val="21"/>
    <w:qFormat/>
    <w:rsid w:val="007D3B3A"/>
    <w:rPr>
      <w:b/>
      <w:bCs/>
      <w:i/>
      <w:iCs/>
      <w:color w:val="4F81BD"/>
    </w:rPr>
  </w:style>
  <w:style w:type="character" w:styleId="Emphasis">
    <w:name w:val="Emphasis"/>
    <w:qFormat/>
    <w:rsid w:val="007D3B3A"/>
    <w:rPr>
      <w:i/>
      <w:iCs/>
    </w:rPr>
  </w:style>
  <w:style w:type="character" w:styleId="SubtleEmphasis">
    <w:name w:val="Subtle Emphasis"/>
    <w:uiPriority w:val="19"/>
    <w:qFormat/>
    <w:rsid w:val="00C60C3D"/>
    <w:rPr>
      <w:i/>
      <w:iCs/>
      <w:color w:val="808080"/>
    </w:rPr>
  </w:style>
  <w:style w:type="paragraph" w:styleId="TOCHeading">
    <w:name w:val="TOC Heading"/>
    <w:basedOn w:val="Heading1"/>
    <w:next w:val="Normal"/>
    <w:uiPriority w:val="39"/>
    <w:semiHidden/>
    <w:unhideWhenUsed/>
    <w:qFormat/>
    <w:rsid w:val="00F84206"/>
    <w:pPr>
      <w:keepLines/>
      <w:spacing w:before="480" w:after="0" w:line="276" w:lineRule="auto"/>
      <w:jc w:val="left"/>
      <w:outlineLvl w:val="9"/>
    </w:pPr>
    <w:rPr>
      <w:rFonts w:ascii="Cambria" w:hAnsi="Cambria" w:cs="Times New Roman"/>
      <w:bCs/>
      <w:smallCaps w:val="0"/>
      <w:color w:val="365F91"/>
      <w:sz w:val="28"/>
      <w:szCs w:val="28"/>
      <w:lang w:val="en-US"/>
    </w:rPr>
  </w:style>
  <w:style w:type="paragraph" w:styleId="IntenseQuote">
    <w:name w:val="Intense Quote"/>
    <w:basedOn w:val="Normal"/>
    <w:next w:val="Normal"/>
    <w:link w:val="IntenseQuoteChar"/>
    <w:uiPriority w:val="30"/>
    <w:qFormat/>
    <w:rsid w:val="0006521F"/>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06521F"/>
    <w:rPr>
      <w:rFonts w:ascii="Arial" w:hAnsi="Arial" w:cs="Arial"/>
      <w:b/>
      <w:bCs/>
      <w:i/>
      <w:iCs/>
      <w:color w:val="4F81BD"/>
      <w:lang w:val="en-GB"/>
    </w:rPr>
  </w:style>
  <w:style w:type="character" w:styleId="CommentReference">
    <w:name w:val="annotation reference"/>
    <w:rsid w:val="00127EDE"/>
    <w:rPr>
      <w:sz w:val="16"/>
      <w:szCs w:val="16"/>
    </w:rPr>
  </w:style>
  <w:style w:type="paragraph" w:styleId="CommentText">
    <w:name w:val="annotation text"/>
    <w:basedOn w:val="Normal"/>
    <w:link w:val="CommentTextChar"/>
    <w:rsid w:val="00127EDE"/>
    <w:rPr>
      <w:rFonts w:cs="Times New Roman"/>
    </w:rPr>
  </w:style>
  <w:style w:type="character" w:customStyle="1" w:styleId="CommentTextChar">
    <w:name w:val="Comment Text Char"/>
    <w:link w:val="CommentText"/>
    <w:rsid w:val="00127EDE"/>
    <w:rPr>
      <w:rFonts w:ascii="Arial" w:hAnsi="Arial" w:cs="Arial"/>
      <w:lang w:val="en-GB"/>
    </w:rPr>
  </w:style>
  <w:style w:type="paragraph" w:styleId="CommentSubject">
    <w:name w:val="annotation subject"/>
    <w:basedOn w:val="CommentText"/>
    <w:next w:val="CommentText"/>
    <w:link w:val="CommentSubjectChar"/>
    <w:rsid w:val="00127EDE"/>
    <w:rPr>
      <w:b/>
      <w:bCs/>
    </w:rPr>
  </w:style>
  <w:style w:type="character" w:customStyle="1" w:styleId="CommentSubjectChar">
    <w:name w:val="Comment Subject Char"/>
    <w:link w:val="CommentSubject"/>
    <w:rsid w:val="00127EDE"/>
    <w:rPr>
      <w:rFonts w:ascii="Arial" w:hAnsi="Arial" w:cs="Arial"/>
      <w:b/>
      <w:bCs/>
      <w:lang w:val="en-GB"/>
    </w:rPr>
  </w:style>
  <w:style w:type="character" w:customStyle="1" w:styleId="BodyTextIndent3Char">
    <w:name w:val="Body Text Indent 3 Char"/>
    <w:link w:val="BodyTextIndent3"/>
    <w:rsid w:val="00B873C9"/>
    <w:rPr>
      <w:rFonts w:ascii="Arial" w:hAnsi="Arial" w:cs="Arial"/>
      <w:lang w:val="en-GB"/>
    </w:rPr>
  </w:style>
  <w:style w:type="character" w:customStyle="1" w:styleId="Heading2Char">
    <w:name w:val="Heading 2 Char"/>
    <w:link w:val="Heading2"/>
    <w:rsid w:val="005A6310"/>
    <w:rPr>
      <w:rFonts w:ascii="Arial" w:hAnsi="Arial" w:cs="Arial"/>
      <w:b/>
      <w:lang w:val="en-US" w:eastAsia="en-US"/>
    </w:rPr>
  </w:style>
  <w:style w:type="character" w:customStyle="1" w:styleId="Heading3Char">
    <w:name w:val="Heading 3 Char"/>
    <w:link w:val="Heading3"/>
    <w:rsid w:val="005A6310"/>
    <w:rPr>
      <w:rFonts w:ascii="Arial" w:hAnsi="Arial" w:cs="Arial"/>
      <w:b/>
      <w:lang w:val="en-GB" w:eastAsia="en-US"/>
    </w:rPr>
  </w:style>
  <w:style w:type="paragraph" w:customStyle="1" w:styleId="Pa3">
    <w:name w:val="Pa3"/>
    <w:basedOn w:val="Normal"/>
    <w:next w:val="Normal"/>
    <w:uiPriority w:val="99"/>
    <w:rsid w:val="000E1708"/>
    <w:pPr>
      <w:autoSpaceDE w:val="0"/>
      <w:autoSpaceDN w:val="0"/>
      <w:adjustRightInd w:val="0"/>
      <w:spacing w:line="181" w:lineRule="atLeast"/>
      <w:ind w:left="0" w:firstLine="0"/>
      <w:jc w:val="left"/>
    </w:pPr>
    <w:rPr>
      <w:rFonts w:ascii="Chronicle Text G1" w:eastAsiaTheme="minorHAnsi" w:hAnsi="Chronicle Text G1" w:cstheme="minorBidi"/>
      <w:sz w:val="24"/>
      <w:szCs w:val="24"/>
      <w:lang w:val="en-US"/>
    </w:rPr>
  </w:style>
  <w:style w:type="paragraph" w:customStyle="1" w:styleId="Pa5">
    <w:name w:val="Pa5"/>
    <w:basedOn w:val="Normal"/>
    <w:next w:val="Normal"/>
    <w:uiPriority w:val="99"/>
    <w:rsid w:val="000E1708"/>
    <w:pPr>
      <w:autoSpaceDE w:val="0"/>
      <w:autoSpaceDN w:val="0"/>
      <w:adjustRightInd w:val="0"/>
      <w:spacing w:line="181" w:lineRule="atLeast"/>
      <w:ind w:left="0" w:firstLine="0"/>
      <w:jc w:val="left"/>
    </w:pPr>
    <w:rPr>
      <w:rFonts w:ascii="Chronicle Text G1" w:eastAsiaTheme="minorHAnsi" w:hAnsi="Chronicle Text G1"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3967">
      <w:bodyDiv w:val="1"/>
      <w:marLeft w:val="0"/>
      <w:marRight w:val="0"/>
      <w:marTop w:val="0"/>
      <w:marBottom w:val="0"/>
      <w:divBdr>
        <w:top w:val="none" w:sz="0" w:space="0" w:color="auto"/>
        <w:left w:val="none" w:sz="0" w:space="0" w:color="auto"/>
        <w:bottom w:val="none" w:sz="0" w:space="0" w:color="auto"/>
        <w:right w:val="none" w:sz="0" w:space="0" w:color="auto"/>
      </w:divBdr>
    </w:div>
    <w:div w:id="270598479">
      <w:bodyDiv w:val="1"/>
      <w:marLeft w:val="0"/>
      <w:marRight w:val="0"/>
      <w:marTop w:val="0"/>
      <w:marBottom w:val="0"/>
      <w:divBdr>
        <w:top w:val="none" w:sz="0" w:space="0" w:color="auto"/>
        <w:left w:val="none" w:sz="0" w:space="0" w:color="auto"/>
        <w:bottom w:val="none" w:sz="0" w:space="0" w:color="auto"/>
        <w:right w:val="none" w:sz="0" w:space="0" w:color="auto"/>
      </w:divBdr>
    </w:div>
    <w:div w:id="273487566">
      <w:bodyDiv w:val="1"/>
      <w:marLeft w:val="0"/>
      <w:marRight w:val="0"/>
      <w:marTop w:val="0"/>
      <w:marBottom w:val="0"/>
      <w:divBdr>
        <w:top w:val="none" w:sz="0" w:space="0" w:color="auto"/>
        <w:left w:val="none" w:sz="0" w:space="0" w:color="auto"/>
        <w:bottom w:val="none" w:sz="0" w:space="0" w:color="auto"/>
        <w:right w:val="none" w:sz="0" w:space="0" w:color="auto"/>
      </w:divBdr>
    </w:div>
    <w:div w:id="299262612">
      <w:bodyDiv w:val="1"/>
      <w:marLeft w:val="0"/>
      <w:marRight w:val="0"/>
      <w:marTop w:val="0"/>
      <w:marBottom w:val="0"/>
      <w:divBdr>
        <w:top w:val="none" w:sz="0" w:space="0" w:color="auto"/>
        <w:left w:val="none" w:sz="0" w:space="0" w:color="auto"/>
        <w:bottom w:val="none" w:sz="0" w:space="0" w:color="auto"/>
        <w:right w:val="none" w:sz="0" w:space="0" w:color="auto"/>
      </w:divBdr>
    </w:div>
    <w:div w:id="533883345">
      <w:bodyDiv w:val="1"/>
      <w:marLeft w:val="0"/>
      <w:marRight w:val="0"/>
      <w:marTop w:val="0"/>
      <w:marBottom w:val="0"/>
      <w:divBdr>
        <w:top w:val="none" w:sz="0" w:space="0" w:color="auto"/>
        <w:left w:val="none" w:sz="0" w:space="0" w:color="auto"/>
        <w:bottom w:val="none" w:sz="0" w:space="0" w:color="auto"/>
        <w:right w:val="none" w:sz="0" w:space="0" w:color="auto"/>
      </w:divBdr>
    </w:div>
    <w:div w:id="706368590">
      <w:bodyDiv w:val="1"/>
      <w:marLeft w:val="0"/>
      <w:marRight w:val="0"/>
      <w:marTop w:val="0"/>
      <w:marBottom w:val="0"/>
      <w:divBdr>
        <w:top w:val="none" w:sz="0" w:space="0" w:color="auto"/>
        <w:left w:val="none" w:sz="0" w:space="0" w:color="auto"/>
        <w:bottom w:val="none" w:sz="0" w:space="0" w:color="auto"/>
        <w:right w:val="none" w:sz="0" w:space="0" w:color="auto"/>
      </w:divBdr>
    </w:div>
    <w:div w:id="778182953">
      <w:bodyDiv w:val="1"/>
      <w:marLeft w:val="0"/>
      <w:marRight w:val="0"/>
      <w:marTop w:val="0"/>
      <w:marBottom w:val="0"/>
      <w:divBdr>
        <w:top w:val="none" w:sz="0" w:space="0" w:color="auto"/>
        <w:left w:val="none" w:sz="0" w:space="0" w:color="auto"/>
        <w:bottom w:val="none" w:sz="0" w:space="0" w:color="auto"/>
        <w:right w:val="none" w:sz="0" w:space="0" w:color="auto"/>
      </w:divBdr>
    </w:div>
    <w:div w:id="873156601">
      <w:bodyDiv w:val="1"/>
      <w:marLeft w:val="0"/>
      <w:marRight w:val="0"/>
      <w:marTop w:val="0"/>
      <w:marBottom w:val="0"/>
      <w:divBdr>
        <w:top w:val="none" w:sz="0" w:space="0" w:color="auto"/>
        <w:left w:val="none" w:sz="0" w:space="0" w:color="auto"/>
        <w:bottom w:val="none" w:sz="0" w:space="0" w:color="auto"/>
        <w:right w:val="none" w:sz="0" w:space="0" w:color="auto"/>
      </w:divBdr>
    </w:div>
    <w:div w:id="1046761166">
      <w:bodyDiv w:val="1"/>
      <w:marLeft w:val="0"/>
      <w:marRight w:val="0"/>
      <w:marTop w:val="0"/>
      <w:marBottom w:val="0"/>
      <w:divBdr>
        <w:top w:val="none" w:sz="0" w:space="0" w:color="auto"/>
        <w:left w:val="none" w:sz="0" w:space="0" w:color="auto"/>
        <w:bottom w:val="none" w:sz="0" w:space="0" w:color="auto"/>
        <w:right w:val="none" w:sz="0" w:space="0" w:color="auto"/>
      </w:divBdr>
    </w:div>
    <w:div w:id="1161697384">
      <w:bodyDiv w:val="1"/>
      <w:marLeft w:val="0"/>
      <w:marRight w:val="0"/>
      <w:marTop w:val="0"/>
      <w:marBottom w:val="0"/>
      <w:divBdr>
        <w:top w:val="none" w:sz="0" w:space="0" w:color="auto"/>
        <w:left w:val="none" w:sz="0" w:space="0" w:color="auto"/>
        <w:bottom w:val="none" w:sz="0" w:space="0" w:color="auto"/>
        <w:right w:val="none" w:sz="0" w:space="0" w:color="auto"/>
      </w:divBdr>
    </w:div>
    <w:div w:id="1261717818">
      <w:bodyDiv w:val="1"/>
      <w:marLeft w:val="0"/>
      <w:marRight w:val="0"/>
      <w:marTop w:val="0"/>
      <w:marBottom w:val="0"/>
      <w:divBdr>
        <w:top w:val="none" w:sz="0" w:space="0" w:color="auto"/>
        <w:left w:val="none" w:sz="0" w:space="0" w:color="auto"/>
        <w:bottom w:val="none" w:sz="0" w:space="0" w:color="auto"/>
        <w:right w:val="none" w:sz="0" w:space="0" w:color="auto"/>
      </w:divBdr>
    </w:div>
    <w:div w:id="1508641852">
      <w:bodyDiv w:val="1"/>
      <w:marLeft w:val="0"/>
      <w:marRight w:val="0"/>
      <w:marTop w:val="0"/>
      <w:marBottom w:val="0"/>
      <w:divBdr>
        <w:top w:val="none" w:sz="0" w:space="0" w:color="auto"/>
        <w:left w:val="none" w:sz="0" w:space="0" w:color="auto"/>
        <w:bottom w:val="none" w:sz="0" w:space="0" w:color="auto"/>
        <w:right w:val="none" w:sz="0" w:space="0" w:color="auto"/>
      </w:divBdr>
    </w:div>
    <w:div w:id="1852910862">
      <w:bodyDiv w:val="1"/>
      <w:marLeft w:val="0"/>
      <w:marRight w:val="0"/>
      <w:marTop w:val="0"/>
      <w:marBottom w:val="0"/>
      <w:divBdr>
        <w:top w:val="none" w:sz="0" w:space="0" w:color="auto"/>
        <w:left w:val="none" w:sz="0" w:space="0" w:color="auto"/>
        <w:bottom w:val="none" w:sz="0" w:space="0" w:color="auto"/>
        <w:right w:val="none" w:sz="0" w:space="0" w:color="auto"/>
      </w:divBdr>
    </w:div>
    <w:div w:id="19257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fl.com.p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2nd Floor, 8-Babar Block, New Garden Town Lahore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ACE7B-71C9-48DA-99E8-CA31B5F6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AGRITECH LIMITED</vt:lpstr>
    </vt:vector>
  </TitlesOfParts>
  <Company>Hewlett-Packard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AGRITECH LIMITED</dc:title>
  <dc:subject>Human Resources Policies &amp; Procedures Manual</dc:subject>
  <dc:creator>Muhammad Dilpazeer</dc:creator>
  <cp:lastModifiedBy>Sohaib Roomy Salih</cp:lastModifiedBy>
  <cp:revision>1</cp:revision>
  <cp:lastPrinted>2024-07-30T09:56:00Z</cp:lastPrinted>
  <dcterms:created xsi:type="dcterms:W3CDTF">2024-12-12T07:35:00Z</dcterms:created>
  <dcterms:modified xsi:type="dcterms:W3CDTF">2024-12-12T07:35:00Z</dcterms:modified>
</cp:coreProperties>
</file>